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BCD9" w14:textId="37604609" w:rsidR="00F82CF8" w:rsidRPr="005F432F" w:rsidRDefault="00F82CF8" w:rsidP="005F432F">
      <w:pPr>
        <w:autoSpaceDE w:val="0"/>
        <w:autoSpaceDN w:val="0"/>
        <w:adjustRightInd w:val="0"/>
        <w:spacing w:after="0" w:line="240" w:lineRule="auto"/>
        <w:rPr>
          <w:b/>
          <w:sz w:val="28"/>
        </w:rPr>
      </w:pPr>
      <w:r>
        <w:rPr>
          <w:b/>
          <w:sz w:val="28"/>
        </w:rPr>
        <w:t>Information on m</w:t>
      </w:r>
      <w:r w:rsidRPr="002B6463">
        <w:rPr>
          <w:b/>
          <w:sz w:val="28"/>
        </w:rPr>
        <w:t xml:space="preserve">easures and </w:t>
      </w:r>
      <w:r>
        <w:rPr>
          <w:b/>
          <w:sz w:val="28"/>
        </w:rPr>
        <w:t xml:space="preserve">related </w:t>
      </w:r>
      <w:r w:rsidRPr="002B6463">
        <w:rPr>
          <w:b/>
          <w:sz w:val="28"/>
        </w:rPr>
        <w:t>costs in relation to species</w:t>
      </w:r>
      <w:r w:rsidR="00DB51FA">
        <w:rPr>
          <w:b/>
          <w:sz w:val="28"/>
        </w:rPr>
        <w:t xml:space="preserve"> </w:t>
      </w:r>
      <w:r>
        <w:rPr>
          <w:b/>
          <w:sz w:val="28"/>
        </w:rPr>
        <w:t>included</w:t>
      </w:r>
      <w:r w:rsidRPr="002B6463">
        <w:rPr>
          <w:b/>
          <w:sz w:val="28"/>
        </w:rPr>
        <w:t xml:space="preserve"> on the Union list</w:t>
      </w:r>
      <w:r w:rsidRPr="00513C01" w:rsidDel="00C86F3E">
        <w:rPr>
          <w:b/>
          <w:sz w:val="28"/>
        </w:rPr>
        <w:t xml:space="preserve"> </w:t>
      </w:r>
      <w:r w:rsidR="005F432F">
        <w:rPr>
          <w:b/>
          <w:sz w:val="28"/>
        </w:rPr>
        <w:t xml:space="preserve">- </w:t>
      </w:r>
      <w:proofErr w:type="spellStart"/>
      <w:r w:rsidR="005F432F" w:rsidRPr="005F432F">
        <w:rPr>
          <w:b/>
          <w:i/>
          <w:sz w:val="28"/>
        </w:rPr>
        <w:t>Eriocheir</w:t>
      </w:r>
      <w:proofErr w:type="spellEnd"/>
      <w:r w:rsidR="005F432F" w:rsidRPr="005F432F">
        <w:rPr>
          <w:b/>
          <w:i/>
          <w:sz w:val="28"/>
        </w:rPr>
        <w:t xml:space="preserve"> sinensis</w:t>
      </w:r>
    </w:p>
    <w:p w14:paraId="166FDBD5" w14:textId="77777777" w:rsidR="00A528BE" w:rsidRDefault="00A528BE" w:rsidP="00A528BE">
      <w:pPr>
        <w:autoSpaceDE w:val="0"/>
        <w:autoSpaceDN w:val="0"/>
        <w:adjustRightInd w:val="0"/>
        <w:spacing w:after="0" w:line="240" w:lineRule="auto"/>
        <w:rPr>
          <w:b/>
          <w:sz w:val="28"/>
        </w:rPr>
      </w:pPr>
    </w:p>
    <w:p w14:paraId="596A405D" w14:textId="77777777" w:rsidR="003140E2" w:rsidRPr="003140E2" w:rsidRDefault="003140E2" w:rsidP="00F14EEE">
      <w:pPr>
        <w:jc w:val="both"/>
      </w:pPr>
      <w:r w:rsidRPr="003140E2">
        <w:rPr>
          <w:i/>
          <w:iCs/>
          <w:lang w:val="en-US"/>
        </w:rPr>
        <w:t xml:space="preserve">This note has been drafted by IUCN within the framework of the contract No 07.0202/2017/763436/SER/ENV.D2 “Technical and Scientific support in relation to the Implementation of Regulation 1143/2014 on Invasive Alien Species”. The information and views set out in this note do not necessarily reflect the official opinion of the Commission, or IUCN. The Commission does not guarantee the accuracy of the data included in this note. Neither the Commission nor IUCN or any person acting on the Commission’s behalf, including any authors or contributors of the notes themselves, may be held responsible for the use which may be made of the information contained therein. Reproduction is </w:t>
      </w:r>
      <w:proofErr w:type="spellStart"/>
      <w:r w:rsidRPr="003140E2">
        <w:rPr>
          <w:i/>
          <w:iCs/>
          <w:lang w:val="en-US"/>
        </w:rPr>
        <w:t>authorised</w:t>
      </w:r>
      <w:proofErr w:type="spellEnd"/>
      <w:r w:rsidRPr="003140E2">
        <w:rPr>
          <w:i/>
          <w:iCs/>
          <w:lang w:val="en-US"/>
        </w:rPr>
        <w:t xml:space="preserve"> provided the source is acknowledged. This document shall be cited as:</w:t>
      </w:r>
    </w:p>
    <w:p w14:paraId="56D578C4" w14:textId="5E142C64" w:rsidR="00B66A43" w:rsidRPr="00B66A43" w:rsidRDefault="00B66A43" w:rsidP="003140E2">
      <w:pPr>
        <w:keepNext/>
        <w:spacing w:before="240" w:line="252" w:lineRule="auto"/>
        <w:rPr>
          <w:iCs/>
          <w:lang w:val="en-US"/>
        </w:rPr>
      </w:pPr>
      <w:r>
        <w:rPr>
          <w:iCs/>
          <w:lang w:val="en-US"/>
        </w:rPr>
        <w:t>Tricarico, E</w:t>
      </w:r>
      <w:r w:rsidR="00F14EEE" w:rsidRPr="00B66A43">
        <w:rPr>
          <w:iCs/>
          <w:lang w:val="en-US"/>
        </w:rPr>
        <w:t>.</w:t>
      </w:r>
      <w:r>
        <w:rPr>
          <w:iCs/>
          <w:lang w:val="en-US"/>
        </w:rPr>
        <w:t xml:space="preserve"> 2019</w:t>
      </w:r>
      <w:r w:rsidR="003140E2" w:rsidRPr="00B66A43">
        <w:rPr>
          <w:iCs/>
          <w:lang w:val="en-US"/>
        </w:rPr>
        <w:t xml:space="preserve">. </w:t>
      </w:r>
      <w:r>
        <w:rPr>
          <w:iCs/>
          <w:lang w:val="en-US"/>
        </w:rPr>
        <w:t xml:space="preserve">Information on measures and related costs in relation to species included on the Union list: </w:t>
      </w:r>
      <w:proofErr w:type="spellStart"/>
      <w:r w:rsidRPr="00B66A43">
        <w:rPr>
          <w:i/>
          <w:iCs/>
          <w:lang w:val="en-US"/>
        </w:rPr>
        <w:t>Eriocheir</w:t>
      </w:r>
      <w:proofErr w:type="spellEnd"/>
      <w:r w:rsidRPr="00B66A43">
        <w:rPr>
          <w:i/>
          <w:iCs/>
          <w:lang w:val="en-US"/>
        </w:rPr>
        <w:t xml:space="preserve"> sinensis</w:t>
      </w:r>
      <w:r>
        <w:rPr>
          <w:iCs/>
          <w:lang w:val="en-US"/>
        </w:rPr>
        <w:t xml:space="preserve">. </w:t>
      </w:r>
      <w:r w:rsidR="003140E2" w:rsidRPr="00B66A43">
        <w:rPr>
          <w:iCs/>
          <w:lang w:val="en-US"/>
        </w:rPr>
        <w:t>Technical note prepared by IUCN for the European Commission.</w:t>
      </w:r>
    </w:p>
    <w:p w14:paraId="5450A610" w14:textId="565D1023" w:rsidR="003140E2" w:rsidRPr="003140E2" w:rsidRDefault="003140E2" w:rsidP="003140E2">
      <w:pPr>
        <w:keepNext/>
        <w:spacing w:before="240" w:line="252" w:lineRule="auto"/>
      </w:pPr>
      <w:r w:rsidRPr="002A54DB">
        <w:rPr>
          <w:i/>
          <w:iCs/>
          <w:lang w:val="en-US"/>
        </w:rPr>
        <w:t xml:space="preserve">Date of completion: </w:t>
      </w:r>
      <w:r w:rsidR="00B3460B">
        <w:rPr>
          <w:i/>
          <w:iCs/>
          <w:lang w:val="en-US"/>
        </w:rPr>
        <w:t>19</w:t>
      </w:r>
      <w:r w:rsidRPr="002A54DB">
        <w:rPr>
          <w:i/>
          <w:iCs/>
          <w:lang w:val="en-US"/>
        </w:rPr>
        <w:t>/</w:t>
      </w:r>
      <w:r w:rsidR="00B66A43">
        <w:rPr>
          <w:i/>
          <w:iCs/>
          <w:lang w:val="en-US"/>
        </w:rPr>
        <w:t>0</w:t>
      </w:r>
      <w:r w:rsidR="00B3460B">
        <w:rPr>
          <w:i/>
          <w:iCs/>
          <w:lang w:val="en-US"/>
        </w:rPr>
        <w:t>9</w:t>
      </w:r>
      <w:r w:rsidRPr="002A54DB">
        <w:rPr>
          <w:i/>
          <w:iCs/>
          <w:lang w:val="en-US"/>
        </w:rPr>
        <w:t>/</w:t>
      </w:r>
      <w:r w:rsidR="00B66A43">
        <w:rPr>
          <w:i/>
          <w:iCs/>
          <w:lang w:val="en-US"/>
        </w:rPr>
        <w:t>2019</w:t>
      </w:r>
    </w:p>
    <w:p w14:paraId="34FF906D" w14:textId="77777777" w:rsidR="003140E2" w:rsidRPr="003140E2" w:rsidRDefault="003140E2" w:rsidP="003140E2">
      <w:pPr>
        <w:keepNext/>
        <w:spacing w:before="240" w:line="252" w:lineRule="auto"/>
        <w:rPr>
          <w:i/>
          <w:iCs/>
          <w:lang w:val="en-US"/>
        </w:rPr>
      </w:pPr>
      <w:r w:rsidRPr="003140E2">
        <w:rPr>
          <w:i/>
          <w:iCs/>
          <w:lang w:val="en-US"/>
        </w:rPr>
        <w:t xml:space="preserve">Comments which could support improvement of this document are welcome. Please send your comments by e-mail to </w:t>
      </w:r>
      <w:hyperlink r:id="rId8" w:history="1">
        <w:r w:rsidRPr="003140E2">
          <w:rPr>
            <w:rStyle w:val="Hyperlink"/>
            <w:i/>
            <w:iCs/>
            <w:color w:val="auto"/>
            <w:lang w:val="en-US"/>
          </w:rPr>
          <w:t>ENV-IAS@ec.europa.eu</w:t>
        </w:r>
      </w:hyperlink>
      <w:r w:rsidRPr="003140E2">
        <w:rPr>
          <w:i/>
          <w:iCs/>
          <w:lang w:val="en-US"/>
        </w:rPr>
        <w:t>.</w:t>
      </w:r>
    </w:p>
    <w:tbl>
      <w:tblPr>
        <w:tblStyle w:val="TableGrid"/>
        <w:tblW w:w="0" w:type="auto"/>
        <w:tblLook w:val="04A0" w:firstRow="1" w:lastRow="0" w:firstColumn="1" w:lastColumn="0" w:noHBand="0" w:noVBand="1"/>
      </w:tblPr>
      <w:tblGrid>
        <w:gridCol w:w="3336"/>
        <w:gridCol w:w="10612"/>
      </w:tblGrid>
      <w:tr w:rsidR="00895ACB" w14:paraId="4CA370CB" w14:textId="77777777" w:rsidTr="003140E2">
        <w:tc>
          <w:tcPr>
            <w:tcW w:w="3336" w:type="dxa"/>
            <w:shd w:val="clear" w:color="auto" w:fill="D9D9D9" w:themeFill="background1" w:themeFillShade="D9"/>
          </w:tcPr>
          <w:p w14:paraId="3BFCD5A8" w14:textId="3D360C74" w:rsidR="00895ACB" w:rsidRPr="002B6463" w:rsidRDefault="00A34CAA" w:rsidP="002B6463">
            <w:pPr>
              <w:pStyle w:val="NoSpacing"/>
              <w:rPr>
                <w:b/>
              </w:rPr>
            </w:pPr>
            <w:r w:rsidRPr="002B6463">
              <w:rPr>
                <w:b/>
              </w:rPr>
              <w:t>Species (scientific name)</w:t>
            </w:r>
          </w:p>
        </w:tc>
        <w:tc>
          <w:tcPr>
            <w:tcW w:w="10612" w:type="dxa"/>
          </w:tcPr>
          <w:p w14:paraId="6D9D7521" w14:textId="76CA0F8E" w:rsidR="00895ACB" w:rsidRPr="002F538D" w:rsidRDefault="00334DB8" w:rsidP="00F30B49">
            <w:pPr>
              <w:rPr>
                <w:i/>
              </w:rPr>
            </w:pPr>
            <w:proofErr w:type="spellStart"/>
            <w:r w:rsidRPr="002F538D">
              <w:rPr>
                <w:i/>
              </w:rPr>
              <w:t>Eriocheir</w:t>
            </w:r>
            <w:proofErr w:type="spellEnd"/>
            <w:r w:rsidRPr="002F538D">
              <w:rPr>
                <w:i/>
              </w:rPr>
              <w:t xml:space="preserve"> sinensis</w:t>
            </w:r>
            <w:r w:rsidR="00AF46CF" w:rsidRPr="002F538D">
              <w:rPr>
                <w:i/>
              </w:rPr>
              <w:t xml:space="preserve"> </w:t>
            </w:r>
            <w:r w:rsidR="00AF46CF" w:rsidRPr="002F538D">
              <w:t>H. Milne Edwards, 1853</w:t>
            </w:r>
          </w:p>
        </w:tc>
      </w:tr>
      <w:tr w:rsidR="006753B9" w14:paraId="497C26F6" w14:textId="77777777" w:rsidTr="003140E2">
        <w:tc>
          <w:tcPr>
            <w:tcW w:w="3336" w:type="dxa"/>
            <w:shd w:val="clear" w:color="auto" w:fill="D9D9D9" w:themeFill="background1" w:themeFillShade="D9"/>
          </w:tcPr>
          <w:p w14:paraId="352AF4B0" w14:textId="5AA31C38" w:rsidR="006753B9" w:rsidRPr="002B6463" w:rsidRDefault="00A34CAA" w:rsidP="002B6463">
            <w:pPr>
              <w:pStyle w:val="NoSpacing"/>
              <w:rPr>
                <w:b/>
              </w:rPr>
            </w:pPr>
            <w:r w:rsidRPr="002B6463">
              <w:rPr>
                <w:b/>
              </w:rPr>
              <w:t>Species (common name)</w:t>
            </w:r>
          </w:p>
        </w:tc>
        <w:tc>
          <w:tcPr>
            <w:tcW w:w="10612" w:type="dxa"/>
          </w:tcPr>
          <w:p w14:paraId="4BF9CEB7" w14:textId="50E3A145" w:rsidR="006753B9" w:rsidRPr="002F538D" w:rsidRDefault="00F41FB1" w:rsidP="00F30B49">
            <w:r w:rsidRPr="002F538D">
              <w:t>Chinese mitten crab</w:t>
            </w:r>
          </w:p>
        </w:tc>
      </w:tr>
      <w:tr w:rsidR="00895ACB" w:rsidRPr="00AF46CF" w14:paraId="3FA455FF" w14:textId="77777777" w:rsidTr="003140E2">
        <w:tc>
          <w:tcPr>
            <w:tcW w:w="3336" w:type="dxa"/>
            <w:shd w:val="clear" w:color="auto" w:fill="D9D9D9" w:themeFill="background1" w:themeFillShade="D9"/>
          </w:tcPr>
          <w:p w14:paraId="3AEF7519" w14:textId="3E7E7379" w:rsidR="00895ACB" w:rsidRPr="002B6463" w:rsidRDefault="00A34CAA" w:rsidP="002B6463">
            <w:pPr>
              <w:pStyle w:val="NoSpacing"/>
              <w:rPr>
                <w:b/>
              </w:rPr>
            </w:pPr>
            <w:r w:rsidRPr="002B6463">
              <w:rPr>
                <w:b/>
              </w:rPr>
              <w:t>Author(s)</w:t>
            </w:r>
          </w:p>
        </w:tc>
        <w:tc>
          <w:tcPr>
            <w:tcW w:w="10612" w:type="dxa"/>
          </w:tcPr>
          <w:p w14:paraId="0F6C0FBC" w14:textId="63E372D2" w:rsidR="00895ACB" w:rsidRPr="002F538D" w:rsidRDefault="00F41FB1" w:rsidP="00F30B49">
            <w:r w:rsidRPr="002F538D">
              <w:t>Elena Tricarico</w:t>
            </w:r>
            <w:r w:rsidR="00AF46CF" w:rsidRPr="002F538D">
              <w:t>, Department of Biology, University of Florence, Italy</w:t>
            </w:r>
          </w:p>
        </w:tc>
      </w:tr>
      <w:tr w:rsidR="00895ACB" w14:paraId="04110231" w14:textId="77777777" w:rsidTr="003140E2">
        <w:tc>
          <w:tcPr>
            <w:tcW w:w="3336" w:type="dxa"/>
            <w:shd w:val="clear" w:color="auto" w:fill="D9D9D9" w:themeFill="background1" w:themeFillShade="D9"/>
          </w:tcPr>
          <w:p w14:paraId="1E83E20B" w14:textId="49A6E938" w:rsidR="00895ACB" w:rsidRPr="002B6463" w:rsidRDefault="00A34CAA" w:rsidP="002B6463">
            <w:pPr>
              <w:pStyle w:val="NoSpacing"/>
              <w:rPr>
                <w:b/>
              </w:rPr>
            </w:pPr>
            <w:r w:rsidRPr="002B6463">
              <w:rPr>
                <w:b/>
              </w:rPr>
              <w:t>Date Completed</w:t>
            </w:r>
            <w:r w:rsidRPr="002B6463" w:rsidDel="00A34CAA">
              <w:rPr>
                <w:b/>
              </w:rPr>
              <w:t xml:space="preserve"> </w:t>
            </w:r>
          </w:p>
        </w:tc>
        <w:tc>
          <w:tcPr>
            <w:tcW w:w="10612" w:type="dxa"/>
          </w:tcPr>
          <w:p w14:paraId="448381A2" w14:textId="0C22187C" w:rsidR="00895ACB" w:rsidRPr="002F538D" w:rsidRDefault="00B3460B" w:rsidP="00B3460B">
            <w:r>
              <w:t>19</w:t>
            </w:r>
            <w:r w:rsidR="00B66A43">
              <w:t>/</w:t>
            </w:r>
            <w:r>
              <w:t>09</w:t>
            </w:r>
            <w:r w:rsidR="00E505FD" w:rsidRPr="002F538D">
              <w:t>/2019</w:t>
            </w:r>
          </w:p>
        </w:tc>
      </w:tr>
      <w:tr w:rsidR="00895ACB" w14:paraId="5B7A4439" w14:textId="77777777" w:rsidTr="003140E2">
        <w:tc>
          <w:tcPr>
            <w:tcW w:w="3336" w:type="dxa"/>
            <w:shd w:val="clear" w:color="auto" w:fill="D9D9D9" w:themeFill="background1" w:themeFillShade="D9"/>
          </w:tcPr>
          <w:p w14:paraId="1B8DB937" w14:textId="0F7E3689" w:rsidR="00895ACB" w:rsidRPr="002B6463" w:rsidRDefault="00A528BE" w:rsidP="002B6463">
            <w:pPr>
              <w:pStyle w:val="NoSpacing"/>
              <w:rPr>
                <w:b/>
              </w:rPr>
            </w:pPr>
            <w:r>
              <w:rPr>
                <w:b/>
              </w:rPr>
              <w:t>Reviewer</w:t>
            </w:r>
          </w:p>
        </w:tc>
        <w:tc>
          <w:tcPr>
            <w:tcW w:w="10612" w:type="dxa"/>
          </w:tcPr>
          <w:p w14:paraId="27073B4A" w14:textId="4E92497A" w:rsidR="00895ACB" w:rsidRPr="002F538D" w:rsidRDefault="00F41FB1" w:rsidP="00F30B49">
            <w:r w:rsidRPr="002F538D">
              <w:t>Stelios Katsanevakis</w:t>
            </w:r>
            <w:r w:rsidR="006648CA">
              <w:t xml:space="preserve">, </w:t>
            </w:r>
            <w:r w:rsidR="006648CA" w:rsidRPr="006648CA">
              <w:t>University of the Aegean</w:t>
            </w:r>
            <w:r w:rsidR="006648CA">
              <w:t>, Greece</w:t>
            </w:r>
          </w:p>
        </w:tc>
      </w:tr>
    </w:tbl>
    <w:p w14:paraId="6D6673E4" w14:textId="77777777" w:rsidR="0000510C" w:rsidRPr="0000510C" w:rsidRDefault="0000510C"/>
    <w:tbl>
      <w:tblPr>
        <w:tblStyle w:val="TableGrid"/>
        <w:tblW w:w="0" w:type="auto"/>
        <w:tblLook w:val="04A0" w:firstRow="1" w:lastRow="0" w:firstColumn="1" w:lastColumn="0" w:noHBand="0" w:noVBand="1"/>
      </w:tblPr>
      <w:tblGrid>
        <w:gridCol w:w="13948"/>
      </w:tblGrid>
      <w:tr w:rsidR="0074557F" w14:paraId="70D03D97" w14:textId="77777777" w:rsidTr="002B6463">
        <w:tc>
          <w:tcPr>
            <w:tcW w:w="13948" w:type="dxa"/>
            <w:shd w:val="clear" w:color="auto" w:fill="D9D9D9" w:themeFill="background1" w:themeFillShade="D9"/>
          </w:tcPr>
          <w:p w14:paraId="0414BA00" w14:textId="234DDFAA" w:rsidR="0074557F" w:rsidRPr="004F1BC0" w:rsidRDefault="0074557F">
            <w:pPr>
              <w:pStyle w:val="Heading2"/>
              <w:outlineLvl w:val="1"/>
            </w:pPr>
            <w:r w:rsidRPr="00B97BD3">
              <w:t>Summary</w:t>
            </w:r>
            <w:r w:rsidRPr="004F1BC0">
              <w:t xml:space="preserve"> </w:t>
            </w:r>
          </w:p>
          <w:p w14:paraId="21025053" w14:textId="2D21BFE1" w:rsidR="0074557F" w:rsidRDefault="00A528BE" w:rsidP="00A528BE">
            <w:pPr>
              <w:rPr>
                <w:rFonts w:eastAsia="Times New Roman" w:cstheme="minorHAnsi"/>
                <w:b/>
                <w:sz w:val="24"/>
                <w:szCs w:val="24"/>
              </w:rPr>
            </w:pPr>
            <w:r w:rsidRPr="00280410">
              <w:rPr>
                <w:rFonts w:eastAsia="Times New Roman" w:cstheme="minorHAnsi"/>
                <w:sz w:val="20"/>
                <w:szCs w:val="20"/>
              </w:rPr>
              <w:t xml:space="preserve">Highlight </w:t>
            </w:r>
            <w:r>
              <w:rPr>
                <w:rFonts w:eastAsia="Times New Roman" w:cstheme="minorHAnsi"/>
                <w:sz w:val="20"/>
                <w:szCs w:val="20"/>
              </w:rPr>
              <w:t>of</w:t>
            </w:r>
            <w:r w:rsidRPr="00280410">
              <w:rPr>
                <w:rFonts w:eastAsia="Times New Roman" w:cstheme="minorHAnsi"/>
                <w:sz w:val="20"/>
                <w:szCs w:val="20"/>
              </w:rPr>
              <w:t xml:space="preserve"> measures that provide the most cost-effective options to prevent the introduction, achieve early detection, rapidly eradicate and manage the species</w:t>
            </w:r>
            <w:r>
              <w:rPr>
                <w:rFonts w:eastAsia="Times New Roman" w:cstheme="minorHAnsi"/>
                <w:sz w:val="20"/>
                <w:szCs w:val="20"/>
              </w:rPr>
              <w:t>,</w:t>
            </w:r>
            <w:r w:rsidRPr="00280410">
              <w:rPr>
                <w:rFonts w:eastAsia="Times New Roman" w:cstheme="minorHAnsi"/>
                <w:b/>
                <w:sz w:val="20"/>
                <w:szCs w:val="20"/>
              </w:rPr>
              <w:t xml:space="preserve"> </w:t>
            </w:r>
            <w:r>
              <w:rPr>
                <w:rFonts w:eastAsia="Times New Roman" w:cstheme="minorHAnsi"/>
                <w:sz w:val="20"/>
                <w:szCs w:val="20"/>
              </w:rPr>
              <w:t>including</w:t>
            </w:r>
            <w:r w:rsidRPr="00280410">
              <w:rPr>
                <w:rFonts w:eastAsia="Times New Roman" w:cstheme="minorHAnsi"/>
                <w:sz w:val="20"/>
                <w:szCs w:val="20"/>
              </w:rPr>
              <w:t xml:space="preserve"> significant gaps in information or knowledge to identify cost-effective measures.</w:t>
            </w:r>
          </w:p>
        </w:tc>
      </w:tr>
      <w:tr w:rsidR="0074557F" w14:paraId="141EF6D2" w14:textId="77777777" w:rsidTr="0074557F">
        <w:tc>
          <w:tcPr>
            <w:tcW w:w="13948" w:type="dxa"/>
          </w:tcPr>
          <w:p w14:paraId="2A30561D" w14:textId="2DF0A506" w:rsidR="0074557F" w:rsidRDefault="0013073F" w:rsidP="00F30B49">
            <w:pPr>
              <w:rPr>
                <w:rFonts w:eastAsia="Times New Roman" w:cstheme="minorHAnsi"/>
              </w:rPr>
            </w:pPr>
            <w:r w:rsidRPr="00BE4BB3">
              <w:rPr>
                <w:rFonts w:eastAsia="Times New Roman" w:cstheme="minorHAnsi"/>
              </w:rPr>
              <w:t xml:space="preserve">Aquatic IAS </w:t>
            </w:r>
            <w:r w:rsidR="009834B0">
              <w:rPr>
                <w:rFonts w:eastAsia="Times New Roman" w:cstheme="minorHAnsi"/>
              </w:rPr>
              <w:t xml:space="preserve">(invasive alien species) </w:t>
            </w:r>
            <w:r w:rsidRPr="00BE4BB3">
              <w:rPr>
                <w:rFonts w:eastAsia="Times New Roman" w:cstheme="minorHAnsi"/>
              </w:rPr>
              <w:t xml:space="preserve">are </w:t>
            </w:r>
            <w:r w:rsidR="003E06D8">
              <w:rPr>
                <w:rFonts w:eastAsia="Times New Roman" w:cstheme="minorHAnsi"/>
              </w:rPr>
              <w:t xml:space="preserve">generally </w:t>
            </w:r>
            <w:r w:rsidRPr="00BE4BB3">
              <w:rPr>
                <w:rFonts w:eastAsia="Times New Roman" w:cstheme="minorHAnsi"/>
              </w:rPr>
              <w:t>difficult to manage,</w:t>
            </w:r>
            <w:r w:rsidR="003E06D8">
              <w:rPr>
                <w:rFonts w:eastAsia="Times New Roman" w:cstheme="minorHAnsi"/>
              </w:rPr>
              <w:t xml:space="preserve"> and</w:t>
            </w:r>
            <w:r w:rsidRPr="00BE4BB3">
              <w:rPr>
                <w:rFonts w:eastAsia="Times New Roman" w:cstheme="minorHAnsi"/>
              </w:rPr>
              <w:t xml:space="preserve"> </w:t>
            </w:r>
            <w:proofErr w:type="spellStart"/>
            <w:r w:rsidRPr="00BE4BB3">
              <w:rPr>
                <w:rFonts w:eastAsia="Times New Roman" w:cstheme="minorHAnsi"/>
                <w:i/>
              </w:rPr>
              <w:t>Eriocheir</w:t>
            </w:r>
            <w:proofErr w:type="spellEnd"/>
            <w:r w:rsidRPr="00BE4BB3">
              <w:rPr>
                <w:rFonts w:eastAsia="Times New Roman" w:cstheme="minorHAnsi"/>
                <w:i/>
              </w:rPr>
              <w:t xml:space="preserve"> sinensis</w:t>
            </w:r>
            <w:r w:rsidRPr="00BE4BB3">
              <w:rPr>
                <w:rFonts w:eastAsia="Times New Roman" w:cstheme="minorHAnsi"/>
              </w:rPr>
              <w:t xml:space="preserve"> is a catadromous species, making its management eve</w:t>
            </w:r>
            <w:r w:rsidR="007338EE" w:rsidRPr="00BE4BB3">
              <w:rPr>
                <w:rFonts w:eastAsia="Times New Roman" w:cstheme="minorHAnsi"/>
              </w:rPr>
              <w:t>n more difficult.</w:t>
            </w:r>
            <w:r w:rsidR="00135D18">
              <w:rPr>
                <w:rFonts w:eastAsia="Times New Roman" w:cstheme="minorHAnsi"/>
              </w:rPr>
              <w:t xml:space="preserve"> No 100% effective </w:t>
            </w:r>
            <w:r w:rsidR="007441CE">
              <w:rPr>
                <w:rFonts w:eastAsia="Times New Roman" w:cstheme="minorHAnsi"/>
              </w:rPr>
              <w:t xml:space="preserve">management </w:t>
            </w:r>
            <w:r w:rsidR="00135D18">
              <w:rPr>
                <w:rFonts w:eastAsia="Times New Roman" w:cstheme="minorHAnsi"/>
              </w:rPr>
              <w:t>measures have been identified for this species.</w:t>
            </w:r>
            <w:r w:rsidR="007441CE">
              <w:rPr>
                <w:rFonts w:eastAsia="Times New Roman" w:cstheme="minorHAnsi"/>
              </w:rPr>
              <w:t xml:space="preserve"> </w:t>
            </w:r>
          </w:p>
          <w:p w14:paraId="2AE88A92" w14:textId="77777777" w:rsidR="00BE4BB3" w:rsidRPr="00BE4BB3" w:rsidRDefault="00BE4BB3" w:rsidP="00F30B49">
            <w:pPr>
              <w:rPr>
                <w:rFonts w:eastAsia="Times New Roman" w:cstheme="minorHAnsi"/>
              </w:rPr>
            </w:pPr>
          </w:p>
          <w:p w14:paraId="372173FF" w14:textId="448DDB43" w:rsidR="0074557F" w:rsidRPr="00BE4BB3" w:rsidRDefault="00BE4BB3" w:rsidP="00F30B49">
            <w:pPr>
              <w:rPr>
                <w:rFonts w:eastAsia="Times New Roman" w:cstheme="minorHAnsi"/>
                <w:b/>
              </w:rPr>
            </w:pPr>
            <w:r w:rsidRPr="00BE4BB3">
              <w:rPr>
                <w:rFonts w:eastAsia="Times New Roman" w:cstheme="minorHAnsi"/>
                <w:b/>
              </w:rPr>
              <w:t>Prevention</w:t>
            </w:r>
            <w:r w:rsidR="002F5CFE">
              <w:rPr>
                <w:rFonts w:eastAsia="Times New Roman" w:cstheme="minorHAnsi"/>
                <w:b/>
              </w:rPr>
              <w:t xml:space="preserve"> of unintentional introductions</w:t>
            </w:r>
          </w:p>
          <w:p w14:paraId="141C3FD2" w14:textId="77777777" w:rsidR="004843AA" w:rsidRDefault="002F5CFE" w:rsidP="00F30B49">
            <w:r>
              <w:t>As t</w:t>
            </w:r>
            <w:r w:rsidR="006461D9" w:rsidRPr="006461D9">
              <w:t xml:space="preserve">he species commonly arrives </w:t>
            </w:r>
            <w:r>
              <w:t xml:space="preserve">to new areas </w:t>
            </w:r>
            <w:r w:rsidR="006461D9" w:rsidRPr="006461D9">
              <w:t xml:space="preserve">transported </w:t>
            </w:r>
            <w:r w:rsidR="006461D9">
              <w:t xml:space="preserve">unintentionally </w:t>
            </w:r>
            <w:r w:rsidR="006461D9" w:rsidRPr="006461D9">
              <w:t>in ballast waters</w:t>
            </w:r>
            <w:r>
              <w:t>,</w:t>
            </w:r>
            <w:r w:rsidR="006461D9" w:rsidRPr="006461D9">
              <w:t xml:space="preserve"> </w:t>
            </w:r>
            <w:r>
              <w:t xml:space="preserve">one of the suggested prevention measures is ballast water exchange in open seas and/or ballast water treatment. </w:t>
            </w:r>
            <w:r w:rsidR="006461D9" w:rsidRPr="006461D9">
              <w:t>B</w:t>
            </w:r>
            <w:r w:rsidR="0055695E">
              <w:t xml:space="preserve">allast water management </w:t>
            </w:r>
            <w:r w:rsidR="006461D9" w:rsidRPr="006461D9">
              <w:t>is not species-specific</w:t>
            </w:r>
            <w:r w:rsidR="0055695E">
              <w:t>,</w:t>
            </w:r>
            <w:r w:rsidR="006461D9" w:rsidRPr="006461D9">
              <w:t xml:space="preserve"> thus the reported info</w:t>
            </w:r>
            <w:r>
              <w:t>rmation</w:t>
            </w:r>
            <w:r w:rsidR="006461D9" w:rsidRPr="006461D9">
              <w:t xml:space="preserve"> for this measure refers to all the possible </w:t>
            </w:r>
            <w:r>
              <w:t xml:space="preserve">aquatic </w:t>
            </w:r>
            <w:r w:rsidR="006461D9" w:rsidRPr="006461D9">
              <w:t>taxa transported by ballast waters.</w:t>
            </w:r>
            <w:r w:rsidR="006461D9">
              <w:t xml:space="preserve"> </w:t>
            </w:r>
            <w:r>
              <w:t>Although t</w:t>
            </w:r>
            <w:r w:rsidR="00126B01">
              <w:t>h</w:t>
            </w:r>
            <w:r>
              <w:t>is measure</w:t>
            </w:r>
            <w:r w:rsidR="00126B01">
              <w:t xml:space="preserve"> </w:t>
            </w:r>
            <w:r>
              <w:t>is</w:t>
            </w:r>
            <w:r w:rsidR="006461D9">
              <w:t xml:space="preserve"> not 100% effective, </w:t>
            </w:r>
            <w:r w:rsidR="007436E5">
              <w:t>it is</w:t>
            </w:r>
            <w:r w:rsidR="0055695E">
              <w:t xml:space="preserve"> the only </w:t>
            </w:r>
            <w:r w:rsidR="007436E5">
              <w:t>way</w:t>
            </w:r>
            <w:r w:rsidR="0055695E">
              <w:t xml:space="preserve"> to tackle ballast water</w:t>
            </w:r>
            <w:r w:rsidR="007436E5">
              <w:t xml:space="preserve"> issues</w:t>
            </w:r>
            <w:r w:rsidR="0055695E">
              <w:t xml:space="preserve">. The </w:t>
            </w:r>
            <w:r w:rsidR="002F5EE0">
              <w:t xml:space="preserve">Ballast </w:t>
            </w:r>
            <w:r w:rsidR="007441CE">
              <w:t>W</w:t>
            </w:r>
            <w:r w:rsidR="002F5EE0">
              <w:t xml:space="preserve">ater </w:t>
            </w:r>
            <w:r w:rsidR="007441CE">
              <w:t>M</w:t>
            </w:r>
            <w:r w:rsidR="002F5EE0">
              <w:t>anagement Convention entered into force in 2017, so the effect of its impleme</w:t>
            </w:r>
            <w:r w:rsidR="002F5EE0" w:rsidRPr="00601428">
              <w:t>ntation should be further assessed.</w:t>
            </w:r>
            <w:r w:rsidR="002F5EE0">
              <w:t xml:space="preserve"> </w:t>
            </w:r>
          </w:p>
          <w:p w14:paraId="0CB91AC9" w14:textId="466CA93E" w:rsidR="007436E5" w:rsidRDefault="00F575CF" w:rsidP="00F30B49">
            <w:r w:rsidRPr="00F575CF">
              <w:lastRenderedPageBreak/>
              <w:t xml:space="preserve">The species can </w:t>
            </w:r>
            <w:r w:rsidR="00BE7051" w:rsidRPr="00F575CF">
              <w:t xml:space="preserve">also </w:t>
            </w:r>
            <w:r w:rsidRPr="00F575CF">
              <w:t>be unintentionally introduced via hull fouling of vessels</w:t>
            </w:r>
            <w:r>
              <w:t>, thus biofouling management is recommended to reduce the possibility of its introduction</w:t>
            </w:r>
            <w:r w:rsidR="004843AA">
              <w:t>, following the</w:t>
            </w:r>
            <w:r>
              <w:t xml:space="preserve"> IMO guidelines and </w:t>
            </w:r>
            <w:r w:rsidR="004843AA">
              <w:t xml:space="preserve">the </w:t>
            </w:r>
            <w:r>
              <w:t>code of conduct on boating and IAS</w:t>
            </w:r>
            <w:r w:rsidR="004843AA">
              <w:t xml:space="preserve">. The latter </w:t>
            </w:r>
            <w:r>
              <w:t xml:space="preserve">are </w:t>
            </w:r>
            <w:r w:rsidR="00601428">
              <w:t xml:space="preserve">not </w:t>
            </w:r>
            <w:r>
              <w:t>mandatory, but should be implemented at national level.</w:t>
            </w:r>
            <w:r w:rsidR="002961C5">
              <w:t xml:space="preserve"> </w:t>
            </w:r>
          </w:p>
          <w:p w14:paraId="1A1DE558" w14:textId="77777777" w:rsidR="00244131" w:rsidRPr="006461D9" w:rsidRDefault="00244131" w:rsidP="00F30B49">
            <w:pPr>
              <w:rPr>
                <w:rFonts w:eastAsia="Times New Roman" w:cstheme="minorHAnsi"/>
              </w:rPr>
            </w:pPr>
          </w:p>
          <w:p w14:paraId="55D948F0" w14:textId="6F3EE3BF" w:rsidR="00244131" w:rsidRDefault="00F41759" w:rsidP="00244131">
            <w:pPr>
              <w:spacing w:line="256" w:lineRule="auto"/>
              <w:rPr>
                <w:rFonts w:ascii="Calibri" w:eastAsia="Calibri" w:hAnsi="Calibri" w:cs="Times New Roman"/>
                <w:b/>
                <w:lang w:eastAsia="en-US"/>
              </w:rPr>
            </w:pPr>
            <w:r>
              <w:rPr>
                <w:rFonts w:ascii="Calibri" w:eastAsia="Calibri" w:hAnsi="Calibri" w:cs="Times New Roman"/>
                <w:b/>
                <w:lang w:eastAsia="en-US"/>
              </w:rPr>
              <w:t>Prevention of s</w:t>
            </w:r>
            <w:r w:rsidR="00244131" w:rsidRPr="00244131">
              <w:rPr>
                <w:rFonts w:ascii="Calibri" w:eastAsia="Calibri" w:hAnsi="Calibri" w:cs="Times New Roman"/>
                <w:b/>
                <w:lang w:eastAsia="en-US"/>
              </w:rPr>
              <w:t>econdary spread</w:t>
            </w:r>
          </w:p>
          <w:p w14:paraId="5AB3FA44" w14:textId="016B0F41" w:rsidR="00601428" w:rsidRDefault="004843AA" w:rsidP="00244131">
            <w:pPr>
              <w:spacing w:line="256" w:lineRule="auto"/>
              <w:rPr>
                <w:rFonts w:ascii="Calibri" w:eastAsia="Calibri" w:hAnsi="Calibri" w:cs="Times New Roman"/>
                <w:bCs/>
                <w:lang w:eastAsia="en-US"/>
              </w:rPr>
            </w:pPr>
            <w:r>
              <w:rPr>
                <w:rFonts w:ascii="Calibri" w:eastAsia="Calibri" w:hAnsi="Calibri" w:cs="Times New Roman"/>
                <w:bCs/>
                <w:lang w:eastAsia="en-US"/>
              </w:rPr>
              <w:t xml:space="preserve">As the species can be unintentionally </w:t>
            </w:r>
            <w:r w:rsidR="00CB2BEC">
              <w:rPr>
                <w:rFonts w:ascii="Calibri" w:eastAsia="Calibri" w:hAnsi="Calibri" w:cs="Times New Roman"/>
                <w:bCs/>
                <w:lang w:eastAsia="en-US"/>
              </w:rPr>
              <w:t xml:space="preserve">transported and </w:t>
            </w:r>
            <w:r>
              <w:rPr>
                <w:rFonts w:ascii="Calibri" w:eastAsia="Calibri" w:hAnsi="Calibri" w:cs="Times New Roman"/>
                <w:bCs/>
                <w:lang w:eastAsia="en-US"/>
              </w:rPr>
              <w:t xml:space="preserve">introduced </w:t>
            </w:r>
            <w:r w:rsidR="00CB2BEC">
              <w:rPr>
                <w:rFonts w:ascii="Calibri" w:eastAsia="Calibri" w:hAnsi="Calibri" w:cs="Times New Roman"/>
                <w:bCs/>
                <w:lang w:eastAsia="en-US"/>
              </w:rPr>
              <w:t xml:space="preserve">into new areas </w:t>
            </w:r>
            <w:r>
              <w:rPr>
                <w:rFonts w:ascii="Calibri" w:eastAsia="Calibri" w:hAnsi="Calibri" w:cs="Times New Roman"/>
                <w:bCs/>
                <w:lang w:eastAsia="en-US"/>
              </w:rPr>
              <w:t>by crafts, b</w:t>
            </w:r>
            <w:r w:rsidR="00601428" w:rsidRPr="00601428">
              <w:rPr>
                <w:rFonts w:ascii="Calibri" w:eastAsia="Calibri" w:hAnsi="Calibri" w:cs="Times New Roman"/>
                <w:bCs/>
                <w:lang w:eastAsia="en-US"/>
              </w:rPr>
              <w:t xml:space="preserve">iosecurity measures </w:t>
            </w:r>
            <w:r w:rsidR="00601428">
              <w:rPr>
                <w:rFonts w:ascii="Calibri" w:eastAsia="Calibri" w:hAnsi="Calibri" w:cs="Times New Roman"/>
                <w:bCs/>
                <w:lang w:eastAsia="en-US"/>
              </w:rPr>
              <w:t xml:space="preserve">(specifically the check/clean/dry campaign) coupled with public awareness should be promoted to </w:t>
            </w:r>
            <w:r>
              <w:rPr>
                <w:rFonts w:ascii="Calibri" w:eastAsia="Calibri" w:hAnsi="Calibri" w:cs="Times New Roman"/>
                <w:bCs/>
                <w:lang w:eastAsia="en-US"/>
              </w:rPr>
              <w:t xml:space="preserve">reduce the probability of its spread. </w:t>
            </w:r>
          </w:p>
          <w:p w14:paraId="676951C6" w14:textId="77777777" w:rsidR="00B3460B" w:rsidRPr="00601428" w:rsidRDefault="00B3460B" w:rsidP="00244131">
            <w:pPr>
              <w:spacing w:line="256" w:lineRule="auto"/>
              <w:rPr>
                <w:rFonts w:ascii="Calibri" w:eastAsia="Calibri" w:hAnsi="Calibri" w:cs="Times New Roman"/>
                <w:bCs/>
                <w:lang w:eastAsia="en-US"/>
              </w:rPr>
            </w:pPr>
          </w:p>
          <w:p w14:paraId="4738F47C" w14:textId="18CC4D26" w:rsidR="002770EC" w:rsidRDefault="008D57E0" w:rsidP="00244131">
            <w:pPr>
              <w:spacing w:line="256" w:lineRule="auto"/>
            </w:pPr>
            <w:r w:rsidRPr="00135D18">
              <w:t xml:space="preserve">Young crabs and young adults actively migrate upstream </w:t>
            </w:r>
            <w:r>
              <w:t>and t</w:t>
            </w:r>
            <w:r w:rsidRPr="00135D18">
              <w:t xml:space="preserve">he species can disperse from neighbouring </w:t>
            </w:r>
            <w:r w:rsidR="00D9627E">
              <w:t xml:space="preserve">areas, or </w:t>
            </w:r>
            <w:r w:rsidRPr="00135D18">
              <w:t>countries</w:t>
            </w:r>
            <w:r w:rsidR="00D9627E">
              <w:t>,</w:t>
            </w:r>
            <w:r w:rsidRPr="00135D18">
              <w:t xml:space="preserve"> through interconnected water systems</w:t>
            </w:r>
            <w:r>
              <w:t>,</w:t>
            </w:r>
            <w:r w:rsidRPr="00135D18">
              <w:t xml:space="preserve"> as </w:t>
            </w:r>
            <w:r>
              <w:t xml:space="preserve">has </w:t>
            </w:r>
            <w:r w:rsidRPr="00135D18">
              <w:t>happened in Austria or Serbia.</w:t>
            </w:r>
            <w:r>
              <w:t xml:space="preserve"> Installing barriers has been suggested to stop its movement, especially during migration phases. However, </w:t>
            </w:r>
            <w:r w:rsidRPr="00F57E74">
              <w:t>adults can disperse overland and climb barriers or banks to overcome the obstacle</w:t>
            </w:r>
            <w:r>
              <w:t xml:space="preserve">: </w:t>
            </w:r>
            <w:r w:rsidRPr="00F57E74">
              <w:t>Chinese mitten crabs are known to be one of the best climbers among crabs</w:t>
            </w:r>
            <w:r>
              <w:t xml:space="preserve">, making this measure not very effective. </w:t>
            </w:r>
          </w:p>
          <w:p w14:paraId="3FE5A149" w14:textId="77777777" w:rsidR="00B3460B" w:rsidRDefault="00B3460B" w:rsidP="00244131">
            <w:pPr>
              <w:spacing w:line="256" w:lineRule="auto"/>
              <w:rPr>
                <w:rFonts w:ascii="Calibri" w:eastAsia="Calibri" w:hAnsi="Calibri" w:cs="Times New Roman"/>
                <w:lang w:eastAsia="en-US"/>
              </w:rPr>
            </w:pPr>
          </w:p>
          <w:p w14:paraId="15EA01C9" w14:textId="0D731865" w:rsidR="00244131" w:rsidRPr="00244131" w:rsidRDefault="00244131" w:rsidP="00244131">
            <w:pPr>
              <w:spacing w:line="256" w:lineRule="auto"/>
              <w:rPr>
                <w:rFonts w:ascii="Calibri" w:eastAsia="Calibri" w:hAnsi="Calibri" w:cs="Times New Roman"/>
                <w:lang w:eastAsia="en-US"/>
              </w:rPr>
            </w:pPr>
            <w:r w:rsidRPr="00244131">
              <w:rPr>
                <w:rFonts w:ascii="Calibri" w:eastAsia="Calibri" w:hAnsi="Calibri" w:cs="Times New Roman"/>
                <w:lang w:eastAsia="en-US"/>
              </w:rPr>
              <w:t xml:space="preserve">Intensive trapping can be conducted to prevent the spread of the species </w:t>
            </w:r>
            <w:r w:rsidR="002770EC" w:rsidRPr="00244131">
              <w:rPr>
                <w:rFonts w:ascii="Calibri" w:eastAsia="Calibri" w:hAnsi="Calibri" w:cs="Times New Roman"/>
                <w:lang w:eastAsia="en-US"/>
              </w:rPr>
              <w:t xml:space="preserve">from the area of invasion </w:t>
            </w:r>
            <w:r w:rsidRPr="00244131">
              <w:rPr>
                <w:rFonts w:ascii="Calibri" w:eastAsia="Calibri" w:hAnsi="Calibri" w:cs="Times New Roman"/>
                <w:lang w:eastAsia="en-US"/>
              </w:rPr>
              <w:t>in</w:t>
            </w:r>
            <w:r w:rsidR="002770EC">
              <w:rPr>
                <w:rFonts w:ascii="Calibri" w:eastAsia="Calibri" w:hAnsi="Calibri" w:cs="Times New Roman"/>
                <w:lang w:eastAsia="en-US"/>
              </w:rPr>
              <w:t>to</w:t>
            </w:r>
            <w:r w:rsidRPr="00244131">
              <w:rPr>
                <w:rFonts w:ascii="Calibri" w:eastAsia="Calibri" w:hAnsi="Calibri" w:cs="Times New Roman"/>
                <w:lang w:eastAsia="en-US"/>
              </w:rPr>
              <w:t xml:space="preserve"> neighbouring areas. Different types of traps/devices are available</w:t>
            </w:r>
            <w:r w:rsidR="002770EC">
              <w:rPr>
                <w:rFonts w:ascii="Calibri" w:eastAsia="Calibri" w:hAnsi="Calibri" w:cs="Times New Roman"/>
                <w:lang w:eastAsia="en-US"/>
              </w:rPr>
              <w:t>,</w:t>
            </w:r>
            <w:r w:rsidRPr="00244131">
              <w:rPr>
                <w:rFonts w:ascii="Calibri" w:eastAsia="Calibri" w:hAnsi="Calibri" w:cs="Times New Roman"/>
                <w:lang w:eastAsia="en-US"/>
              </w:rPr>
              <w:t xml:space="preserve"> </w:t>
            </w:r>
            <w:r w:rsidR="002770EC">
              <w:rPr>
                <w:rFonts w:ascii="Calibri" w:eastAsia="Calibri" w:hAnsi="Calibri" w:cs="Times New Roman"/>
                <w:lang w:eastAsia="en-US"/>
              </w:rPr>
              <w:t>such as</w:t>
            </w:r>
            <w:r w:rsidRPr="00244131">
              <w:rPr>
                <w:rFonts w:ascii="Calibri" w:eastAsia="Calibri" w:hAnsi="Calibri" w:cs="Times New Roman"/>
                <w:lang w:eastAsia="en-US"/>
              </w:rPr>
              <w:t xml:space="preserve"> baited traps, fyke nets, ring net</w:t>
            </w:r>
            <w:r w:rsidR="002770EC">
              <w:rPr>
                <w:rFonts w:ascii="Calibri" w:eastAsia="Calibri" w:hAnsi="Calibri" w:cs="Times New Roman"/>
                <w:lang w:eastAsia="en-US"/>
              </w:rPr>
              <w:t>s</w:t>
            </w:r>
            <w:r w:rsidRPr="00244131">
              <w:rPr>
                <w:rFonts w:ascii="Calibri" w:eastAsia="Calibri" w:hAnsi="Calibri" w:cs="Times New Roman"/>
                <w:lang w:eastAsia="en-US"/>
              </w:rPr>
              <w:t>, star trap</w:t>
            </w:r>
            <w:r w:rsidR="002770EC">
              <w:rPr>
                <w:rFonts w:ascii="Calibri" w:eastAsia="Calibri" w:hAnsi="Calibri" w:cs="Times New Roman"/>
                <w:lang w:eastAsia="en-US"/>
              </w:rPr>
              <w:t>s and</w:t>
            </w:r>
            <w:r w:rsidRPr="00244131">
              <w:rPr>
                <w:rFonts w:ascii="Calibri" w:eastAsia="Calibri" w:hAnsi="Calibri" w:cs="Times New Roman"/>
                <w:lang w:eastAsia="en-US"/>
              </w:rPr>
              <w:t xml:space="preserve"> snare trap</w:t>
            </w:r>
            <w:r w:rsidR="002770EC">
              <w:rPr>
                <w:rFonts w:ascii="Calibri" w:eastAsia="Calibri" w:hAnsi="Calibri" w:cs="Times New Roman"/>
                <w:lang w:eastAsia="en-US"/>
              </w:rPr>
              <w:t>s</w:t>
            </w:r>
            <w:r w:rsidRPr="00244131">
              <w:rPr>
                <w:rFonts w:ascii="Calibri" w:eastAsia="Calibri" w:hAnsi="Calibri" w:cs="Times New Roman"/>
                <w:lang w:eastAsia="en-US"/>
              </w:rPr>
              <w:t>. The</w:t>
            </w:r>
            <w:r w:rsidR="002770EC">
              <w:rPr>
                <w:rFonts w:ascii="Calibri" w:eastAsia="Calibri" w:hAnsi="Calibri" w:cs="Times New Roman"/>
                <w:lang w:eastAsia="en-US"/>
              </w:rPr>
              <w:t>se traps</w:t>
            </w:r>
            <w:r w:rsidRPr="00244131">
              <w:rPr>
                <w:rFonts w:ascii="Calibri" w:eastAsia="Calibri" w:hAnsi="Calibri" w:cs="Times New Roman"/>
                <w:lang w:eastAsia="en-US"/>
              </w:rPr>
              <w:t xml:space="preserve"> allow the animals to enter</w:t>
            </w:r>
            <w:r w:rsidR="002770EC">
              <w:rPr>
                <w:rFonts w:ascii="Calibri" w:eastAsia="Calibri" w:hAnsi="Calibri" w:cs="Times New Roman"/>
                <w:lang w:eastAsia="en-US"/>
              </w:rPr>
              <w:t>,</w:t>
            </w:r>
            <w:r w:rsidRPr="00244131">
              <w:rPr>
                <w:rFonts w:ascii="Calibri" w:eastAsia="Calibri" w:hAnsi="Calibri" w:cs="Times New Roman"/>
                <w:lang w:eastAsia="en-US"/>
              </w:rPr>
              <w:t xml:space="preserve"> but not to escape. Fyke nets (with o</w:t>
            </w:r>
            <w:r w:rsidR="002770EC">
              <w:rPr>
                <w:rFonts w:ascii="Calibri" w:eastAsia="Calibri" w:hAnsi="Calibri" w:cs="Times New Roman"/>
                <w:lang w:eastAsia="en-US"/>
              </w:rPr>
              <w:t>r</w:t>
            </w:r>
            <w:r w:rsidRPr="00244131">
              <w:rPr>
                <w:rFonts w:ascii="Calibri" w:eastAsia="Calibri" w:hAnsi="Calibri" w:cs="Times New Roman"/>
                <w:lang w:eastAsia="en-US"/>
              </w:rPr>
              <w:t xml:space="preserve"> without leaders) seem to be efficient</w:t>
            </w:r>
            <w:r w:rsidR="002770EC">
              <w:rPr>
                <w:rFonts w:ascii="Calibri" w:eastAsia="Calibri" w:hAnsi="Calibri" w:cs="Times New Roman"/>
                <w:lang w:eastAsia="en-US"/>
              </w:rPr>
              <w:t>, and</w:t>
            </w:r>
            <w:r w:rsidRPr="00244131">
              <w:rPr>
                <w:rFonts w:ascii="Calibri" w:eastAsia="Calibri" w:hAnsi="Calibri" w:cs="Times New Roman"/>
                <w:lang w:eastAsia="en-US"/>
              </w:rPr>
              <w:t xml:space="preserve"> can be modified to avoid fish bycatch. Trapping is most effective during migration periods, </w:t>
            </w:r>
            <w:r w:rsidR="002770EC">
              <w:rPr>
                <w:rFonts w:ascii="Calibri" w:eastAsia="Calibri" w:hAnsi="Calibri" w:cs="Times New Roman"/>
                <w:lang w:eastAsia="en-US"/>
              </w:rPr>
              <w:t xml:space="preserve">by </w:t>
            </w:r>
            <w:r w:rsidRPr="00244131">
              <w:rPr>
                <w:rFonts w:ascii="Calibri" w:eastAsia="Calibri" w:hAnsi="Calibri" w:cs="Times New Roman"/>
                <w:lang w:eastAsia="en-US"/>
              </w:rPr>
              <w:t>placing traps upstream (juvenile migration) or downstream (adult migration) of dams/weirs. Effectiveness of trapping is debated. Traps could be a partly effective tool to keep population</w:t>
            </w:r>
            <w:r w:rsidR="002770EC">
              <w:rPr>
                <w:rFonts w:ascii="Calibri" w:eastAsia="Calibri" w:hAnsi="Calibri" w:cs="Times New Roman"/>
                <w:lang w:eastAsia="en-US"/>
              </w:rPr>
              <w:t>s</w:t>
            </w:r>
            <w:r w:rsidRPr="00244131">
              <w:rPr>
                <w:rFonts w:ascii="Calibri" w:eastAsia="Calibri" w:hAnsi="Calibri" w:cs="Times New Roman"/>
                <w:lang w:eastAsia="en-US"/>
              </w:rPr>
              <w:t xml:space="preserve"> at low </w:t>
            </w:r>
            <w:r w:rsidR="002770EC">
              <w:rPr>
                <w:rFonts w:ascii="Calibri" w:eastAsia="Calibri" w:hAnsi="Calibri" w:cs="Times New Roman"/>
                <w:lang w:eastAsia="en-US"/>
              </w:rPr>
              <w:t>densities</w:t>
            </w:r>
            <w:r w:rsidRPr="00244131">
              <w:rPr>
                <w:rFonts w:ascii="Calibri" w:eastAsia="Calibri" w:hAnsi="Calibri" w:cs="Times New Roman"/>
                <w:lang w:eastAsia="en-US"/>
              </w:rPr>
              <w:t xml:space="preserve">, but </w:t>
            </w:r>
            <w:r w:rsidR="002770EC">
              <w:rPr>
                <w:rFonts w:ascii="Calibri" w:eastAsia="Calibri" w:hAnsi="Calibri" w:cs="Times New Roman"/>
                <w:lang w:eastAsia="en-US"/>
              </w:rPr>
              <w:t>they can</w:t>
            </w:r>
            <w:r w:rsidRPr="00244131">
              <w:rPr>
                <w:rFonts w:ascii="Calibri" w:eastAsia="Calibri" w:hAnsi="Calibri" w:cs="Times New Roman"/>
                <w:lang w:eastAsia="en-US"/>
              </w:rPr>
              <w:t xml:space="preserve">not </w:t>
            </w:r>
            <w:r w:rsidR="002770EC">
              <w:rPr>
                <w:rFonts w:ascii="Calibri" w:eastAsia="Calibri" w:hAnsi="Calibri" w:cs="Times New Roman"/>
                <w:lang w:eastAsia="en-US"/>
              </w:rPr>
              <w:t xml:space="preserve">be </w:t>
            </w:r>
            <w:r w:rsidRPr="00244131">
              <w:rPr>
                <w:rFonts w:ascii="Calibri" w:eastAsia="Calibri" w:hAnsi="Calibri" w:cs="Times New Roman"/>
                <w:lang w:eastAsia="en-US"/>
              </w:rPr>
              <w:t xml:space="preserve">the only measure </w:t>
            </w:r>
            <w:r w:rsidR="002770EC">
              <w:rPr>
                <w:rFonts w:ascii="Calibri" w:eastAsia="Calibri" w:hAnsi="Calibri" w:cs="Times New Roman"/>
                <w:lang w:eastAsia="en-US"/>
              </w:rPr>
              <w:t xml:space="preserve">used </w:t>
            </w:r>
            <w:r w:rsidRPr="00244131">
              <w:rPr>
                <w:rFonts w:ascii="Calibri" w:eastAsia="Calibri" w:hAnsi="Calibri" w:cs="Times New Roman"/>
                <w:lang w:eastAsia="en-US"/>
              </w:rPr>
              <w:t>to prevent spread or eradicate a population.</w:t>
            </w:r>
          </w:p>
          <w:p w14:paraId="4D53326B" w14:textId="77777777" w:rsidR="00244131" w:rsidRPr="00244131" w:rsidRDefault="00244131" w:rsidP="00244131">
            <w:pPr>
              <w:spacing w:line="256" w:lineRule="auto"/>
              <w:rPr>
                <w:rFonts w:ascii="Calibri" w:eastAsia="Calibri" w:hAnsi="Calibri" w:cs="Times New Roman"/>
                <w:lang w:eastAsia="en-US"/>
              </w:rPr>
            </w:pPr>
          </w:p>
          <w:p w14:paraId="0BC207C5" w14:textId="77777777" w:rsidR="00244131" w:rsidRPr="00244131" w:rsidRDefault="00244131" w:rsidP="00244131">
            <w:pPr>
              <w:spacing w:line="256" w:lineRule="auto"/>
              <w:rPr>
                <w:rFonts w:ascii="Calibri" w:eastAsia="Calibri" w:hAnsi="Calibri" w:cs="Times New Roman"/>
                <w:b/>
                <w:lang w:eastAsia="en-US"/>
              </w:rPr>
            </w:pPr>
            <w:r w:rsidRPr="00244131">
              <w:rPr>
                <w:rFonts w:ascii="Calibri" w:eastAsia="Calibri" w:hAnsi="Calibri" w:cs="Times New Roman"/>
                <w:b/>
                <w:lang w:eastAsia="en-US"/>
              </w:rPr>
              <w:t>Early detection</w:t>
            </w:r>
          </w:p>
          <w:p w14:paraId="76BAF410" w14:textId="595EE07C" w:rsidR="007C6F84" w:rsidRDefault="00244131" w:rsidP="00244131">
            <w:pPr>
              <w:spacing w:line="256" w:lineRule="auto"/>
              <w:rPr>
                <w:rFonts w:ascii="Calibri" w:eastAsia="Calibri" w:hAnsi="Calibri" w:cs="Times New Roman"/>
                <w:lang w:eastAsia="en-US"/>
              </w:rPr>
            </w:pPr>
            <w:r w:rsidRPr="00244131">
              <w:rPr>
                <w:rFonts w:ascii="Calibri" w:eastAsia="Calibri" w:hAnsi="Calibri" w:cs="Times New Roman"/>
                <w:lang w:eastAsia="en-US"/>
              </w:rPr>
              <w:t>As the species can disperse through interconnected water systems from neighbouring countries or within a country, a network could be established to detect new populations. Networks may consist of watershed groups, volunteers, residents, anglers, commercial freshwater and marine fishermen, farmers</w:t>
            </w:r>
            <w:r w:rsidR="00AB6B12">
              <w:rPr>
                <w:rFonts w:ascii="Calibri" w:eastAsia="Calibri" w:hAnsi="Calibri" w:cs="Times New Roman"/>
                <w:lang w:eastAsia="en-US"/>
              </w:rPr>
              <w:t xml:space="preserve"> or</w:t>
            </w:r>
            <w:r w:rsidRPr="00244131">
              <w:rPr>
                <w:rFonts w:ascii="Calibri" w:eastAsia="Calibri" w:hAnsi="Calibri" w:cs="Times New Roman"/>
                <w:lang w:eastAsia="en-US"/>
              </w:rPr>
              <w:t xml:space="preserve"> civil servants to monitor strategical points (such as fish passage</w:t>
            </w:r>
            <w:r w:rsidR="00AB6B12">
              <w:rPr>
                <w:rFonts w:ascii="Calibri" w:eastAsia="Calibri" w:hAnsi="Calibri" w:cs="Times New Roman"/>
                <w:lang w:eastAsia="en-US"/>
              </w:rPr>
              <w:t>s</w:t>
            </w:r>
            <w:r w:rsidRPr="00244131">
              <w:rPr>
                <w:rFonts w:ascii="Calibri" w:eastAsia="Calibri" w:hAnsi="Calibri" w:cs="Times New Roman"/>
                <w:lang w:eastAsia="en-US"/>
              </w:rPr>
              <w:t xml:space="preserve"> and hydropower facilities, where the animals can congregate during migration period). </w:t>
            </w:r>
            <w:r w:rsidR="00AB6B12">
              <w:rPr>
                <w:rFonts w:ascii="Calibri" w:eastAsia="Calibri" w:hAnsi="Calibri" w:cs="Times New Roman"/>
                <w:lang w:eastAsia="en-US"/>
              </w:rPr>
              <w:t xml:space="preserve">Although </w:t>
            </w:r>
            <w:r w:rsidRPr="00244131">
              <w:rPr>
                <w:rFonts w:ascii="Calibri" w:eastAsia="Calibri" w:hAnsi="Calibri" w:cs="Times New Roman"/>
                <w:lang w:eastAsia="en-US"/>
              </w:rPr>
              <w:t xml:space="preserve">no data are present in the literature on </w:t>
            </w:r>
            <w:r w:rsidR="00AB6B12">
              <w:rPr>
                <w:rFonts w:ascii="Calibri" w:eastAsia="Calibri" w:hAnsi="Calibri" w:cs="Times New Roman"/>
                <w:lang w:eastAsia="en-US"/>
              </w:rPr>
              <w:t>this measure’s</w:t>
            </w:r>
            <w:r w:rsidRPr="00244131">
              <w:rPr>
                <w:rFonts w:ascii="Calibri" w:eastAsia="Calibri" w:hAnsi="Calibri" w:cs="Times New Roman"/>
                <w:lang w:eastAsia="en-US"/>
              </w:rPr>
              <w:t xml:space="preserve"> effectiveness</w:t>
            </w:r>
            <w:r w:rsidR="00AB6B12">
              <w:rPr>
                <w:rFonts w:ascii="Calibri" w:eastAsia="Calibri" w:hAnsi="Calibri" w:cs="Times New Roman"/>
                <w:lang w:eastAsia="en-US"/>
              </w:rPr>
              <w:t>,</w:t>
            </w:r>
            <w:r w:rsidRPr="00244131">
              <w:rPr>
                <w:rFonts w:ascii="Calibri" w:eastAsia="Calibri" w:hAnsi="Calibri" w:cs="Times New Roman"/>
                <w:lang w:eastAsia="en-US"/>
              </w:rPr>
              <w:t xml:space="preserve"> </w:t>
            </w:r>
            <w:r w:rsidR="00AB6B12">
              <w:rPr>
                <w:rFonts w:ascii="Calibri" w:eastAsia="Calibri" w:hAnsi="Calibri" w:cs="Times New Roman"/>
                <w:lang w:eastAsia="en-US"/>
              </w:rPr>
              <w:t>i</w:t>
            </w:r>
            <w:r w:rsidRPr="00244131">
              <w:rPr>
                <w:rFonts w:ascii="Calibri" w:eastAsia="Calibri" w:hAnsi="Calibri" w:cs="Times New Roman"/>
                <w:lang w:eastAsia="en-US"/>
              </w:rPr>
              <w:t xml:space="preserve">t has been useful </w:t>
            </w:r>
            <w:r w:rsidR="007C6F84">
              <w:rPr>
                <w:rFonts w:ascii="Calibri" w:eastAsia="Calibri" w:hAnsi="Calibri" w:cs="Times New Roman"/>
                <w:lang w:eastAsia="en-US"/>
              </w:rPr>
              <w:t>in</w:t>
            </w:r>
            <w:r w:rsidR="007C6F84" w:rsidRPr="00244131">
              <w:rPr>
                <w:rFonts w:ascii="Calibri" w:eastAsia="Calibri" w:hAnsi="Calibri" w:cs="Times New Roman"/>
                <w:lang w:eastAsia="en-US"/>
              </w:rPr>
              <w:t xml:space="preserve"> </w:t>
            </w:r>
            <w:r w:rsidRPr="00244131">
              <w:rPr>
                <w:rFonts w:ascii="Calibri" w:eastAsia="Calibri" w:hAnsi="Calibri" w:cs="Times New Roman"/>
                <w:lang w:eastAsia="en-US"/>
              </w:rPr>
              <w:t>detect</w:t>
            </w:r>
            <w:r w:rsidR="007C6F84">
              <w:rPr>
                <w:rFonts w:ascii="Calibri" w:eastAsia="Calibri" w:hAnsi="Calibri" w:cs="Times New Roman"/>
                <w:lang w:eastAsia="en-US"/>
              </w:rPr>
              <w:t>ing</w:t>
            </w:r>
            <w:r w:rsidRPr="00244131">
              <w:rPr>
                <w:rFonts w:ascii="Calibri" w:eastAsia="Calibri" w:hAnsi="Calibri" w:cs="Times New Roman"/>
                <w:lang w:eastAsia="en-US"/>
              </w:rPr>
              <w:t xml:space="preserve"> new alien crayfish</w:t>
            </w:r>
            <w:r w:rsidR="00AB6B12">
              <w:rPr>
                <w:rFonts w:ascii="Calibri" w:eastAsia="Calibri" w:hAnsi="Calibri" w:cs="Times New Roman"/>
                <w:lang w:eastAsia="en-US"/>
              </w:rPr>
              <w:t>,</w:t>
            </w:r>
            <w:r w:rsidRPr="00244131">
              <w:rPr>
                <w:rFonts w:ascii="Calibri" w:eastAsia="Calibri" w:hAnsi="Calibri" w:cs="Times New Roman"/>
                <w:lang w:eastAsia="en-US"/>
              </w:rPr>
              <w:t xml:space="preserve"> fish </w:t>
            </w:r>
            <w:r w:rsidR="00AB6B12">
              <w:rPr>
                <w:rFonts w:ascii="Calibri" w:eastAsia="Calibri" w:hAnsi="Calibri" w:cs="Times New Roman"/>
                <w:lang w:eastAsia="en-US"/>
              </w:rPr>
              <w:t>and</w:t>
            </w:r>
            <w:r w:rsidR="00AB6B12" w:rsidRPr="00244131">
              <w:rPr>
                <w:rFonts w:ascii="Calibri" w:eastAsia="Calibri" w:hAnsi="Calibri" w:cs="Times New Roman"/>
                <w:lang w:eastAsia="en-US"/>
              </w:rPr>
              <w:t xml:space="preserve"> </w:t>
            </w:r>
            <w:r w:rsidRPr="00244131">
              <w:rPr>
                <w:rFonts w:ascii="Calibri" w:eastAsia="Calibri" w:hAnsi="Calibri" w:cs="Times New Roman"/>
                <w:lang w:eastAsia="en-US"/>
              </w:rPr>
              <w:t xml:space="preserve">other IAS in Europe. </w:t>
            </w:r>
          </w:p>
          <w:p w14:paraId="3566B2C9" w14:textId="77777777" w:rsidR="00B3460B" w:rsidRDefault="00B3460B" w:rsidP="00244131">
            <w:pPr>
              <w:spacing w:line="256" w:lineRule="auto"/>
              <w:rPr>
                <w:rFonts w:ascii="Calibri" w:eastAsia="Calibri" w:hAnsi="Calibri" w:cs="Times New Roman"/>
                <w:lang w:eastAsia="en-US"/>
              </w:rPr>
            </w:pPr>
          </w:p>
          <w:p w14:paraId="709E32D7" w14:textId="27D6DCF9" w:rsidR="00C33D3B" w:rsidRDefault="00244131" w:rsidP="00244131">
            <w:pPr>
              <w:spacing w:line="256" w:lineRule="auto"/>
              <w:rPr>
                <w:rFonts w:ascii="Calibri" w:eastAsia="Calibri" w:hAnsi="Calibri" w:cs="Times New Roman"/>
                <w:lang w:eastAsia="en-US"/>
              </w:rPr>
            </w:pPr>
            <w:r w:rsidRPr="00244131">
              <w:rPr>
                <w:rFonts w:ascii="Calibri" w:eastAsia="Calibri" w:hAnsi="Calibri" w:cs="Times New Roman"/>
                <w:lang w:eastAsia="en-US"/>
              </w:rPr>
              <w:t>eDNA could also be used to detect species at low abundance. The use of eDNA as a monitoring tool in freshwater systems is becoming increasingly accept</w:t>
            </w:r>
            <w:r w:rsidR="00C33D3B">
              <w:rPr>
                <w:rFonts w:ascii="Calibri" w:eastAsia="Calibri" w:hAnsi="Calibri" w:cs="Times New Roman"/>
                <w:lang w:eastAsia="en-US"/>
              </w:rPr>
              <w:t>ed</w:t>
            </w:r>
            <w:r w:rsidRPr="00244131">
              <w:rPr>
                <w:rFonts w:ascii="Calibri" w:eastAsia="Calibri" w:hAnsi="Calibri" w:cs="Times New Roman"/>
                <w:lang w:eastAsia="en-US"/>
              </w:rPr>
              <w:t xml:space="preserve"> and widely used for the detection of single species. Techniques are improving, so effectiveness of the measure will increase in the future.</w:t>
            </w:r>
          </w:p>
          <w:p w14:paraId="2DB0BC53" w14:textId="05B5146B" w:rsidR="00244131" w:rsidRDefault="00C33D3B" w:rsidP="00244131">
            <w:pPr>
              <w:spacing w:line="256" w:lineRule="auto"/>
              <w:rPr>
                <w:rFonts w:ascii="Calibri" w:eastAsia="Calibri" w:hAnsi="Calibri" w:cs="Times New Roman"/>
                <w:lang w:eastAsia="en-US"/>
              </w:rPr>
            </w:pPr>
            <w:r>
              <w:rPr>
                <w:rFonts w:ascii="Calibri" w:eastAsia="Calibri" w:hAnsi="Calibri" w:cs="Times New Roman"/>
                <w:lang w:eastAsia="en-US"/>
              </w:rPr>
              <w:t>Ever more,</w:t>
            </w:r>
            <w:r w:rsidRPr="00244131">
              <w:rPr>
                <w:rFonts w:ascii="Calibri" w:eastAsia="Calibri" w:hAnsi="Calibri" w:cs="Times New Roman"/>
                <w:lang w:eastAsia="en-US"/>
              </w:rPr>
              <w:t xml:space="preserve"> </w:t>
            </w:r>
            <w:r w:rsidR="00244131" w:rsidRPr="00244131">
              <w:rPr>
                <w:rFonts w:ascii="Calibri" w:eastAsia="Calibri" w:hAnsi="Calibri" w:cs="Times New Roman"/>
                <w:lang w:eastAsia="en-US"/>
              </w:rPr>
              <w:t>citizen science is seen as essential to ensure the spatial and temporal resolution of IAS collection data, allowing for rapid response and the success of prevention and management programs. The Joint Research Centr</w:t>
            </w:r>
            <w:r>
              <w:rPr>
                <w:rFonts w:ascii="Calibri" w:eastAsia="Calibri" w:hAnsi="Calibri" w:cs="Times New Roman"/>
                <w:lang w:eastAsia="en-US"/>
              </w:rPr>
              <w:t>e</w:t>
            </w:r>
            <w:r w:rsidR="00244131" w:rsidRPr="00244131">
              <w:rPr>
                <w:rFonts w:ascii="Calibri" w:eastAsia="Calibri" w:hAnsi="Calibri" w:cs="Times New Roman"/>
                <w:lang w:eastAsia="en-US"/>
              </w:rPr>
              <w:t xml:space="preserve"> of </w:t>
            </w:r>
            <w:r>
              <w:rPr>
                <w:rFonts w:ascii="Calibri" w:eastAsia="Calibri" w:hAnsi="Calibri" w:cs="Times New Roman"/>
                <w:lang w:eastAsia="en-US"/>
              </w:rPr>
              <w:t xml:space="preserve">the </w:t>
            </w:r>
            <w:r w:rsidR="00244131" w:rsidRPr="00244131">
              <w:rPr>
                <w:rFonts w:ascii="Calibri" w:eastAsia="Calibri" w:hAnsi="Calibri" w:cs="Times New Roman"/>
                <w:lang w:eastAsia="en-US"/>
              </w:rPr>
              <w:t xml:space="preserve">European Commission has developed a dedicated smartphone app for the species of Union concern, </w:t>
            </w:r>
            <w:r>
              <w:rPr>
                <w:rFonts w:ascii="Calibri" w:eastAsia="Calibri" w:hAnsi="Calibri" w:cs="Times New Roman"/>
                <w:lang w:eastAsia="en-US"/>
              </w:rPr>
              <w:t xml:space="preserve">so that </w:t>
            </w:r>
            <w:r w:rsidRPr="00244131">
              <w:rPr>
                <w:rFonts w:ascii="Calibri" w:eastAsia="Calibri" w:hAnsi="Calibri" w:cs="Times New Roman"/>
                <w:lang w:eastAsia="en-US"/>
              </w:rPr>
              <w:t xml:space="preserve">data </w:t>
            </w:r>
            <w:r w:rsidR="00244131" w:rsidRPr="00244131">
              <w:rPr>
                <w:rFonts w:ascii="Calibri" w:eastAsia="Calibri" w:hAnsi="Calibri" w:cs="Times New Roman"/>
                <w:lang w:eastAsia="en-US"/>
              </w:rPr>
              <w:t xml:space="preserve">can </w:t>
            </w:r>
            <w:r>
              <w:rPr>
                <w:rFonts w:ascii="Calibri" w:eastAsia="Calibri" w:hAnsi="Calibri" w:cs="Times New Roman"/>
                <w:lang w:eastAsia="en-US"/>
              </w:rPr>
              <w:t xml:space="preserve">be </w:t>
            </w:r>
            <w:r w:rsidR="00244131" w:rsidRPr="00244131">
              <w:rPr>
                <w:rFonts w:ascii="Calibri" w:eastAsia="Calibri" w:hAnsi="Calibri" w:cs="Times New Roman"/>
                <w:lang w:eastAsia="en-US"/>
              </w:rPr>
              <w:t>sen</w:t>
            </w:r>
            <w:r>
              <w:rPr>
                <w:rFonts w:ascii="Calibri" w:eastAsia="Calibri" w:hAnsi="Calibri" w:cs="Times New Roman"/>
                <w:lang w:eastAsia="en-US"/>
              </w:rPr>
              <w:t>t</w:t>
            </w:r>
            <w:r w:rsidR="00244131" w:rsidRPr="00244131">
              <w:rPr>
                <w:rFonts w:ascii="Calibri" w:eastAsia="Calibri" w:hAnsi="Calibri" w:cs="Times New Roman"/>
                <w:lang w:eastAsia="en-US"/>
              </w:rPr>
              <w:t xml:space="preserve"> to competent authorit</w:t>
            </w:r>
            <w:r>
              <w:rPr>
                <w:rFonts w:ascii="Calibri" w:eastAsia="Calibri" w:hAnsi="Calibri" w:cs="Times New Roman"/>
                <w:lang w:eastAsia="en-US"/>
              </w:rPr>
              <w:t>ies,</w:t>
            </w:r>
            <w:r w:rsidR="00244131" w:rsidRPr="00244131">
              <w:rPr>
                <w:rFonts w:ascii="Calibri" w:eastAsia="Calibri" w:hAnsi="Calibri" w:cs="Times New Roman"/>
                <w:lang w:eastAsia="en-US"/>
              </w:rPr>
              <w:t xml:space="preserve"> in order to detect the species at </w:t>
            </w:r>
            <w:r>
              <w:rPr>
                <w:rFonts w:ascii="Calibri" w:eastAsia="Calibri" w:hAnsi="Calibri" w:cs="Times New Roman"/>
                <w:lang w:eastAsia="en-US"/>
              </w:rPr>
              <w:t>an</w:t>
            </w:r>
            <w:r w:rsidRPr="00244131">
              <w:rPr>
                <w:rFonts w:ascii="Calibri" w:eastAsia="Calibri" w:hAnsi="Calibri" w:cs="Times New Roman"/>
                <w:lang w:eastAsia="en-US"/>
              </w:rPr>
              <w:t xml:space="preserve"> </w:t>
            </w:r>
            <w:r w:rsidR="00244131" w:rsidRPr="00244131">
              <w:rPr>
                <w:rFonts w:ascii="Calibri" w:eastAsia="Calibri" w:hAnsi="Calibri" w:cs="Times New Roman"/>
                <w:lang w:eastAsia="en-US"/>
              </w:rPr>
              <w:t xml:space="preserve">early stage of invasion. The first confirmed record of the species along the entire eastern </w:t>
            </w:r>
            <w:r>
              <w:rPr>
                <w:rFonts w:ascii="Calibri" w:eastAsia="Calibri" w:hAnsi="Calibri" w:cs="Times New Roman"/>
                <w:lang w:eastAsia="en-US"/>
              </w:rPr>
              <w:t>USA</w:t>
            </w:r>
            <w:r w:rsidR="00244131" w:rsidRPr="00244131">
              <w:rPr>
                <w:rFonts w:ascii="Calibri" w:eastAsia="Calibri" w:hAnsi="Calibri" w:cs="Times New Roman"/>
                <w:lang w:eastAsia="en-US"/>
              </w:rPr>
              <w:t>, from Florida to Maine, was in Chesapeake Bay near Baltimore, Maryland</w:t>
            </w:r>
            <w:r>
              <w:rPr>
                <w:rFonts w:ascii="Calibri" w:eastAsia="Calibri" w:hAnsi="Calibri" w:cs="Times New Roman"/>
                <w:lang w:eastAsia="en-US"/>
              </w:rPr>
              <w:t>,</w:t>
            </w:r>
            <w:r w:rsidR="00244131" w:rsidRPr="00244131">
              <w:rPr>
                <w:rFonts w:ascii="Calibri" w:eastAsia="Calibri" w:hAnsi="Calibri" w:cs="Times New Roman"/>
                <w:lang w:eastAsia="en-US"/>
              </w:rPr>
              <w:t xml:space="preserve"> in 2005</w:t>
            </w:r>
            <w:r>
              <w:rPr>
                <w:rFonts w:ascii="Calibri" w:eastAsia="Calibri" w:hAnsi="Calibri" w:cs="Times New Roman"/>
                <w:lang w:eastAsia="en-US"/>
              </w:rPr>
              <w:t>:</w:t>
            </w:r>
            <w:r w:rsidR="00244131" w:rsidRPr="00244131">
              <w:rPr>
                <w:rFonts w:ascii="Calibri" w:eastAsia="Calibri" w:hAnsi="Calibri" w:cs="Times New Roman"/>
                <w:lang w:eastAsia="en-US"/>
              </w:rPr>
              <w:t xml:space="preserve"> </w:t>
            </w:r>
            <w:r>
              <w:rPr>
                <w:rFonts w:ascii="Calibri" w:eastAsia="Calibri" w:hAnsi="Calibri" w:cs="Times New Roman"/>
                <w:lang w:eastAsia="en-US"/>
              </w:rPr>
              <w:t>t</w:t>
            </w:r>
            <w:r w:rsidR="00244131" w:rsidRPr="00244131">
              <w:rPr>
                <w:rFonts w:ascii="Calibri" w:eastAsia="Calibri" w:hAnsi="Calibri" w:cs="Times New Roman"/>
                <w:lang w:eastAsia="en-US"/>
              </w:rPr>
              <w:t xml:space="preserve">his initial crab </w:t>
            </w:r>
            <w:r>
              <w:rPr>
                <w:rFonts w:ascii="Calibri" w:eastAsia="Calibri" w:hAnsi="Calibri" w:cs="Times New Roman"/>
                <w:lang w:eastAsia="en-US"/>
              </w:rPr>
              <w:t xml:space="preserve">detection </w:t>
            </w:r>
            <w:r w:rsidR="00244131" w:rsidRPr="00244131">
              <w:rPr>
                <w:rFonts w:ascii="Calibri" w:eastAsia="Calibri" w:hAnsi="Calibri" w:cs="Times New Roman"/>
                <w:lang w:eastAsia="en-US"/>
              </w:rPr>
              <w:t xml:space="preserve">was reported by a commercial crabber, </w:t>
            </w:r>
            <w:r>
              <w:rPr>
                <w:rFonts w:ascii="Calibri" w:eastAsia="Calibri" w:hAnsi="Calibri" w:cs="Times New Roman"/>
                <w:lang w:eastAsia="en-US"/>
              </w:rPr>
              <w:t>showing that</w:t>
            </w:r>
            <w:r w:rsidRPr="00244131">
              <w:rPr>
                <w:rFonts w:ascii="Calibri" w:eastAsia="Calibri" w:hAnsi="Calibri" w:cs="Times New Roman"/>
                <w:lang w:eastAsia="en-US"/>
              </w:rPr>
              <w:t xml:space="preserve"> </w:t>
            </w:r>
            <w:r w:rsidR="00244131" w:rsidRPr="00244131">
              <w:rPr>
                <w:rFonts w:ascii="Calibri" w:eastAsia="Calibri" w:hAnsi="Calibri" w:cs="Times New Roman"/>
                <w:lang w:eastAsia="en-US"/>
              </w:rPr>
              <w:t xml:space="preserve">citizen science </w:t>
            </w:r>
            <w:r w:rsidR="00D03C5B">
              <w:rPr>
                <w:rFonts w:ascii="Calibri" w:eastAsia="Calibri" w:hAnsi="Calibri" w:cs="Times New Roman"/>
                <w:lang w:eastAsia="en-US"/>
              </w:rPr>
              <w:t>can be</w:t>
            </w:r>
            <w:r w:rsidR="00D03C5B" w:rsidRPr="00244131">
              <w:rPr>
                <w:rFonts w:ascii="Calibri" w:eastAsia="Calibri" w:hAnsi="Calibri" w:cs="Times New Roman"/>
                <w:lang w:eastAsia="en-US"/>
              </w:rPr>
              <w:t xml:space="preserve"> </w:t>
            </w:r>
            <w:r w:rsidR="00244131" w:rsidRPr="00244131">
              <w:rPr>
                <w:rFonts w:ascii="Calibri" w:eastAsia="Calibri" w:hAnsi="Calibri" w:cs="Times New Roman"/>
                <w:lang w:eastAsia="en-US"/>
              </w:rPr>
              <w:t>considered an effective measure.</w:t>
            </w:r>
          </w:p>
          <w:p w14:paraId="4E3BA83D" w14:textId="77777777" w:rsidR="00244131" w:rsidRPr="00244131" w:rsidRDefault="00244131" w:rsidP="00244131">
            <w:pPr>
              <w:spacing w:line="256" w:lineRule="auto"/>
              <w:rPr>
                <w:rFonts w:ascii="Calibri" w:eastAsia="Calibri" w:hAnsi="Calibri" w:cs="Times New Roman"/>
                <w:lang w:eastAsia="en-US"/>
              </w:rPr>
            </w:pPr>
          </w:p>
          <w:p w14:paraId="703598FC" w14:textId="77777777" w:rsidR="00244131" w:rsidRPr="00244131" w:rsidRDefault="00244131" w:rsidP="00244131">
            <w:pPr>
              <w:spacing w:line="256" w:lineRule="auto"/>
              <w:rPr>
                <w:rFonts w:ascii="Calibri" w:eastAsia="Calibri" w:hAnsi="Calibri" w:cs="Times New Roman"/>
                <w:b/>
                <w:lang w:eastAsia="en-US"/>
              </w:rPr>
            </w:pPr>
            <w:r w:rsidRPr="00244131">
              <w:rPr>
                <w:rFonts w:ascii="Calibri" w:eastAsia="Calibri" w:hAnsi="Calibri" w:cs="Times New Roman"/>
                <w:b/>
                <w:lang w:eastAsia="en-US"/>
              </w:rPr>
              <w:t>Rapid eradication</w:t>
            </w:r>
          </w:p>
          <w:p w14:paraId="533AFDC5" w14:textId="23823933" w:rsidR="00244131" w:rsidRPr="00244131" w:rsidRDefault="00244131" w:rsidP="00244131">
            <w:pPr>
              <w:spacing w:line="256" w:lineRule="auto"/>
              <w:rPr>
                <w:rFonts w:ascii="Calibri" w:eastAsia="Calibri" w:hAnsi="Calibri" w:cs="Times New Roman"/>
                <w:lang w:eastAsia="en-US"/>
              </w:rPr>
            </w:pPr>
            <w:r w:rsidRPr="00244131">
              <w:rPr>
                <w:rFonts w:ascii="Calibri" w:eastAsia="Calibri" w:hAnsi="Calibri" w:cs="Times New Roman"/>
                <w:lang w:eastAsia="en-US"/>
              </w:rPr>
              <w:t xml:space="preserve">Aquatic IAS are very difficult to manage, and usually the combination of different techniques is recommended to achieve good results. Eradication is even more challenging, and </w:t>
            </w:r>
            <w:r w:rsidR="00F57629">
              <w:rPr>
                <w:rFonts w:ascii="Calibri" w:eastAsia="Calibri" w:hAnsi="Calibri" w:cs="Times New Roman"/>
                <w:lang w:eastAsia="en-US"/>
              </w:rPr>
              <w:t>can</w:t>
            </w:r>
            <w:r w:rsidRPr="00244131">
              <w:rPr>
                <w:rFonts w:ascii="Calibri" w:eastAsia="Calibri" w:hAnsi="Calibri" w:cs="Times New Roman"/>
                <w:lang w:eastAsia="en-US"/>
              </w:rPr>
              <w:t xml:space="preserve"> </w:t>
            </w:r>
            <w:r w:rsidR="00F57629" w:rsidRPr="00244131">
              <w:rPr>
                <w:rFonts w:ascii="Calibri" w:eastAsia="Calibri" w:hAnsi="Calibri" w:cs="Times New Roman"/>
                <w:lang w:eastAsia="en-US"/>
              </w:rPr>
              <w:t xml:space="preserve">only </w:t>
            </w:r>
            <w:r w:rsidRPr="00244131">
              <w:rPr>
                <w:rFonts w:ascii="Calibri" w:eastAsia="Calibri" w:hAnsi="Calibri" w:cs="Times New Roman"/>
                <w:lang w:eastAsia="en-US"/>
              </w:rPr>
              <w:t xml:space="preserve">be contemplated in a closed system. A combination of intensive trapping with </w:t>
            </w:r>
            <w:r w:rsidR="003E1804">
              <w:rPr>
                <w:rFonts w:ascii="Calibri" w:eastAsia="Calibri" w:hAnsi="Calibri" w:cs="Times New Roman"/>
                <w:lang w:eastAsia="en-US"/>
              </w:rPr>
              <w:t xml:space="preserve">the </w:t>
            </w:r>
            <w:r w:rsidR="00DB1C24">
              <w:rPr>
                <w:rFonts w:ascii="Calibri" w:eastAsia="Calibri" w:hAnsi="Calibri" w:cs="Times New Roman"/>
                <w:lang w:eastAsia="en-US"/>
              </w:rPr>
              <w:t xml:space="preserve">application of </w:t>
            </w:r>
            <w:r w:rsidRPr="00244131">
              <w:rPr>
                <w:rFonts w:ascii="Calibri" w:eastAsia="Calibri" w:hAnsi="Calibri" w:cs="Times New Roman"/>
                <w:lang w:eastAsia="en-US"/>
              </w:rPr>
              <w:t xml:space="preserve">temporary fences/barriers along the area of intervention to delimit it could be </w:t>
            </w:r>
            <w:r w:rsidR="00761358">
              <w:rPr>
                <w:rFonts w:ascii="Calibri" w:eastAsia="Calibri" w:hAnsi="Calibri" w:cs="Times New Roman"/>
                <w:lang w:eastAsia="en-US"/>
              </w:rPr>
              <w:t>used</w:t>
            </w:r>
            <w:r w:rsidR="003E1804" w:rsidRPr="00244131">
              <w:rPr>
                <w:rFonts w:ascii="Calibri" w:eastAsia="Calibri" w:hAnsi="Calibri" w:cs="Times New Roman"/>
                <w:lang w:eastAsia="en-US"/>
              </w:rPr>
              <w:t xml:space="preserve"> </w:t>
            </w:r>
            <w:r w:rsidRPr="00244131">
              <w:rPr>
                <w:rFonts w:ascii="Calibri" w:eastAsia="Calibri" w:hAnsi="Calibri" w:cs="Times New Roman"/>
                <w:lang w:eastAsia="en-US"/>
              </w:rPr>
              <w:t xml:space="preserve">to eradicate the species at </w:t>
            </w:r>
            <w:r w:rsidR="003E1804">
              <w:rPr>
                <w:rFonts w:ascii="Calibri" w:eastAsia="Calibri" w:hAnsi="Calibri" w:cs="Times New Roman"/>
                <w:lang w:eastAsia="en-US"/>
              </w:rPr>
              <w:t>an</w:t>
            </w:r>
            <w:r w:rsidR="003E1804" w:rsidRPr="00244131">
              <w:rPr>
                <w:rFonts w:ascii="Calibri" w:eastAsia="Calibri" w:hAnsi="Calibri" w:cs="Times New Roman"/>
                <w:lang w:eastAsia="en-US"/>
              </w:rPr>
              <w:t xml:space="preserve"> </w:t>
            </w:r>
            <w:r w:rsidRPr="00244131">
              <w:rPr>
                <w:rFonts w:ascii="Calibri" w:eastAsia="Calibri" w:hAnsi="Calibri" w:cs="Times New Roman"/>
                <w:lang w:eastAsia="en-US"/>
              </w:rPr>
              <w:t>early stage of invasion. Use of diversion and pitfall traps can also be considered. Drainage of water bodies cannot be considered</w:t>
            </w:r>
            <w:r w:rsidR="00B06E8F">
              <w:rPr>
                <w:rFonts w:ascii="Calibri" w:eastAsia="Calibri" w:hAnsi="Calibri" w:cs="Times New Roman"/>
                <w:lang w:eastAsia="en-US"/>
              </w:rPr>
              <w:t>,</w:t>
            </w:r>
            <w:r w:rsidRPr="00244131">
              <w:rPr>
                <w:rFonts w:ascii="Calibri" w:eastAsia="Calibri" w:hAnsi="Calibri" w:cs="Times New Roman"/>
                <w:lang w:eastAsia="en-US"/>
              </w:rPr>
              <w:t xml:space="preserve"> as this species can walk overland</w:t>
            </w:r>
            <w:r w:rsidR="008D57E0">
              <w:rPr>
                <w:rFonts w:ascii="Calibri" w:eastAsia="Calibri" w:hAnsi="Calibri" w:cs="Times New Roman"/>
                <w:lang w:eastAsia="en-US"/>
              </w:rPr>
              <w:t>,</w:t>
            </w:r>
            <w:r w:rsidRPr="00244131">
              <w:rPr>
                <w:rFonts w:ascii="Calibri" w:eastAsia="Calibri" w:hAnsi="Calibri" w:cs="Times New Roman"/>
                <w:lang w:eastAsia="en-US"/>
              </w:rPr>
              <w:t xml:space="preserve"> and </w:t>
            </w:r>
            <w:r w:rsidR="00B37CCF">
              <w:rPr>
                <w:rFonts w:ascii="Calibri" w:eastAsia="Calibri" w:hAnsi="Calibri" w:cs="Times New Roman"/>
                <w:lang w:eastAsia="en-US"/>
              </w:rPr>
              <w:t>marked</w:t>
            </w:r>
            <w:r w:rsidR="00B06E8F" w:rsidRPr="00244131">
              <w:rPr>
                <w:rFonts w:ascii="Calibri" w:eastAsia="Calibri" w:hAnsi="Calibri" w:cs="Times New Roman"/>
                <w:lang w:eastAsia="en-US"/>
              </w:rPr>
              <w:t xml:space="preserve"> </w:t>
            </w:r>
            <w:r w:rsidRPr="00244131">
              <w:rPr>
                <w:rFonts w:ascii="Calibri" w:eastAsia="Calibri" w:hAnsi="Calibri" w:cs="Times New Roman"/>
                <w:lang w:eastAsia="en-US"/>
              </w:rPr>
              <w:t xml:space="preserve">side effects on non-target species </w:t>
            </w:r>
            <w:r w:rsidR="00B06E8F">
              <w:rPr>
                <w:rFonts w:ascii="Calibri" w:eastAsia="Calibri" w:hAnsi="Calibri" w:cs="Times New Roman"/>
                <w:lang w:eastAsia="en-US"/>
              </w:rPr>
              <w:t>would likely occur</w:t>
            </w:r>
            <w:r w:rsidRPr="00244131">
              <w:rPr>
                <w:rFonts w:ascii="Calibri" w:eastAsia="Calibri" w:hAnsi="Calibri" w:cs="Times New Roman"/>
                <w:lang w:eastAsia="en-US"/>
              </w:rPr>
              <w:t>. Chemical methods have never been tested</w:t>
            </w:r>
            <w:r w:rsidR="00B37CCF">
              <w:rPr>
                <w:rFonts w:ascii="Calibri" w:eastAsia="Calibri" w:hAnsi="Calibri" w:cs="Times New Roman"/>
                <w:lang w:eastAsia="en-US"/>
              </w:rPr>
              <w:t xml:space="preserve"> for this species</w:t>
            </w:r>
            <w:r w:rsidRPr="00244131">
              <w:rPr>
                <w:rFonts w:ascii="Calibri" w:eastAsia="Calibri" w:hAnsi="Calibri" w:cs="Times New Roman"/>
                <w:lang w:eastAsia="en-US"/>
              </w:rPr>
              <w:t>. Similarly, no biological control specific to Chinese mitten crab is known. Thus, only the combination of mechanical (traps) and physical (barriers, diversion) methods can be considered</w:t>
            </w:r>
            <w:r w:rsidR="00B37CCF">
              <w:rPr>
                <w:rFonts w:ascii="Calibri" w:eastAsia="Calibri" w:hAnsi="Calibri" w:cs="Times New Roman"/>
                <w:lang w:eastAsia="en-US"/>
              </w:rPr>
              <w:t>, although</w:t>
            </w:r>
            <w:r w:rsidRPr="00244131">
              <w:rPr>
                <w:rFonts w:ascii="Calibri" w:eastAsia="Calibri" w:hAnsi="Calibri" w:cs="Times New Roman"/>
                <w:lang w:eastAsia="en-US"/>
              </w:rPr>
              <w:t xml:space="preserve"> eradication of the species has never been reported.</w:t>
            </w:r>
          </w:p>
          <w:p w14:paraId="7A98464F" w14:textId="77777777" w:rsidR="00C05CD3" w:rsidRDefault="00C05CD3" w:rsidP="00244131">
            <w:pPr>
              <w:spacing w:line="256" w:lineRule="auto"/>
              <w:rPr>
                <w:rFonts w:ascii="Calibri" w:eastAsia="Calibri" w:hAnsi="Calibri" w:cs="Times New Roman"/>
                <w:b/>
                <w:lang w:eastAsia="en-US"/>
              </w:rPr>
            </w:pPr>
          </w:p>
          <w:p w14:paraId="70B3E169" w14:textId="3FB0BEE6" w:rsidR="00244131" w:rsidRPr="00244131" w:rsidRDefault="00244131" w:rsidP="00244131">
            <w:pPr>
              <w:spacing w:line="256" w:lineRule="auto"/>
              <w:rPr>
                <w:rFonts w:ascii="Calibri" w:eastAsia="Calibri" w:hAnsi="Calibri" w:cs="Times New Roman"/>
                <w:b/>
                <w:lang w:eastAsia="en-US"/>
              </w:rPr>
            </w:pPr>
            <w:r w:rsidRPr="00244131">
              <w:rPr>
                <w:rFonts w:ascii="Calibri" w:eastAsia="Calibri" w:hAnsi="Calibri" w:cs="Times New Roman"/>
                <w:b/>
                <w:lang w:eastAsia="en-US"/>
              </w:rPr>
              <w:t>Management</w:t>
            </w:r>
          </w:p>
          <w:p w14:paraId="3FDB6F9B" w14:textId="060C63D3"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 xml:space="preserve">After </w:t>
            </w:r>
            <w:r w:rsidR="00CB6140">
              <w:rPr>
                <w:rFonts w:ascii="Calibri" w:eastAsia="Calibri" w:hAnsi="Calibri" w:cs="Times New Roman"/>
                <w:lang w:eastAsia="en-US"/>
              </w:rPr>
              <w:t xml:space="preserve">attempting the use of </w:t>
            </w:r>
            <w:r w:rsidRPr="00244131">
              <w:rPr>
                <w:rFonts w:ascii="Calibri" w:eastAsia="Calibri" w:hAnsi="Calibri" w:cs="Times New Roman"/>
                <w:lang w:eastAsia="en-US"/>
              </w:rPr>
              <w:t>barriers, intensive trapping</w:t>
            </w:r>
            <w:r w:rsidR="00CB6140">
              <w:rPr>
                <w:rFonts w:ascii="Calibri" w:eastAsia="Calibri" w:hAnsi="Calibri" w:cs="Times New Roman"/>
                <w:lang w:eastAsia="en-US"/>
              </w:rPr>
              <w:t xml:space="preserve"> and</w:t>
            </w:r>
            <w:r w:rsidRPr="00244131">
              <w:rPr>
                <w:rFonts w:ascii="Calibri" w:eastAsia="Calibri" w:hAnsi="Calibri" w:cs="Times New Roman"/>
                <w:lang w:eastAsia="en-US"/>
              </w:rPr>
              <w:t xml:space="preserve"> I</w:t>
            </w:r>
            <w:r w:rsidR="00CB6140">
              <w:rPr>
                <w:rFonts w:ascii="Calibri" w:eastAsia="Calibri" w:hAnsi="Calibri" w:cs="Times New Roman"/>
                <w:lang w:eastAsia="en-US"/>
              </w:rPr>
              <w:t xml:space="preserve">ntegrated </w:t>
            </w:r>
            <w:r w:rsidRPr="00244131">
              <w:rPr>
                <w:rFonts w:ascii="Calibri" w:eastAsia="Calibri" w:hAnsi="Calibri" w:cs="Times New Roman"/>
                <w:lang w:eastAsia="en-US"/>
              </w:rPr>
              <w:t>P</w:t>
            </w:r>
            <w:r w:rsidR="00CB6140">
              <w:rPr>
                <w:rFonts w:ascii="Calibri" w:eastAsia="Calibri" w:hAnsi="Calibri" w:cs="Times New Roman"/>
                <w:lang w:eastAsia="en-US"/>
              </w:rPr>
              <w:t xml:space="preserve">est </w:t>
            </w:r>
            <w:r w:rsidRPr="00244131">
              <w:rPr>
                <w:rFonts w:ascii="Calibri" w:eastAsia="Calibri" w:hAnsi="Calibri" w:cs="Times New Roman"/>
                <w:lang w:eastAsia="en-US"/>
              </w:rPr>
              <w:t>M</w:t>
            </w:r>
            <w:r w:rsidR="00CB6140">
              <w:rPr>
                <w:rFonts w:ascii="Calibri" w:eastAsia="Calibri" w:hAnsi="Calibri" w:cs="Times New Roman"/>
                <w:lang w:eastAsia="en-US"/>
              </w:rPr>
              <w:t>anagement</w:t>
            </w:r>
            <w:r w:rsidRPr="00244131">
              <w:rPr>
                <w:rFonts w:ascii="Calibri" w:eastAsia="Calibri" w:hAnsi="Calibri" w:cs="Times New Roman"/>
                <w:lang w:eastAsia="en-US"/>
              </w:rPr>
              <w:t xml:space="preserve">, commercial use of the species can </w:t>
            </w:r>
            <w:r w:rsidR="00CB6140">
              <w:rPr>
                <w:rFonts w:ascii="Calibri" w:eastAsia="Calibri" w:hAnsi="Calibri" w:cs="Times New Roman"/>
                <w:lang w:eastAsia="en-US"/>
              </w:rPr>
              <w:t xml:space="preserve">also </w:t>
            </w:r>
            <w:r w:rsidRPr="00244131">
              <w:rPr>
                <w:rFonts w:ascii="Calibri" w:eastAsia="Calibri" w:hAnsi="Calibri" w:cs="Times New Roman"/>
                <w:lang w:eastAsia="en-US"/>
              </w:rPr>
              <w:t xml:space="preserve">be considered as </w:t>
            </w:r>
            <w:r w:rsidR="00CB6140">
              <w:rPr>
                <w:rFonts w:ascii="Calibri" w:eastAsia="Calibri" w:hAnsi="Calibri" w:cs="Times New Roman"/>
                <w:lang w:eastAsia="en-US"/>
              </w:rPr>
              <w:t xml:space="preserve">a </w:t>
            </w:r>
            <w:r w:rsidRPr="00244131">
              <w:rPr>
                <w:rFonts w:ascii="Calibri" w:eastAsia="Calibri" w:hAnsi="Calibri" w:cs="Times New Roman"/>
                <w:lang w:eastAsia="en-US"/>
              </w:rPr>
              <w:t>control tool. Commerciali</w:t>
            </w:r>
            <w:r w:rsidR="00CB6140">
              <w:rPr>
                <w:rFonts w:ascii="Calibri" w:eastAsia="Calibri" w:hAnsi="Calibri" w:cs="Times New Roman"/>
                <w:lang w:eastAsia="en-US"/>
              </w:rPr>
              <w:t>s</w:t>
            </w:r>
            <w:r w:rsidRPr="00244131">
              <w:rPr>
                <w:rFonts w:ascii="Calibri" w:eastAsia="Calibri" w:hAnsi="Calibri" w:cs="Times New Roman"/>
                <w:lang w:eastAsia="en-US"/>
              </w:rPr>
              <w:t>ation can reduce species abundance with minimal cost</w:t>
            </w:r>
            <w:r w:rsidR="00CB6140">
              <w:rPr>
                <w:rFonts w:ascii="Calibri" w:eastAsia="Calibri" w:hAnsi="Calibri" w:cs="Times New Roman"/>
                <w:lang w:eastAsia="en-US"/>
              </w:rPr>
              <w:t>,</w:t>
            </w:r>
            <w:r w:rsidRPr="00244131">
              <w:rPr>
                <w:rFonts w:ascii="Calibri" w:eastAsia="Calibri" w:hAnsi="Calibri" w:cs="Times New Roman"/>
                <w:lang w:eastAsia="en-US"/>
              </w:rPr>
              <w:t xml:space="preserve"> </w:t>
            </w:r>
            <w:r w:rsidR="00CB6140">
              <w:rPr>
                <w:rFonts w:ascii="Calibri" w:eastAsia="Calibri" w:hAnsi="Calibri" w:cs="Times New Roman"/>
                <w:lang w:eastAsia="en-US"/>
              </w:rPr>
              <w:t>although</w:t>
            </w:r>
            <w:r w:rsidR="00CB6140" w:rsidRPr="00244131">
              <w:rPr>
                <w:rFonts w:ascii="Calibri" w:eastAsia="Calibri" w:hAnsi="Calibri" w:cs="Times New Roman"/>
                <w:lang w:eastAsia="en-US"/>
              </w:rPr>
              <w:t xml:space="preserve"> </w:t>
            </w:r>
            <w:r w:rsidRPr="00244131">
              <w:rPr>
                <w:rFonts w:ascii="Calibri" w:eastAsia="Calibri" w:hAnsi="Calibri" w:cs="Times New Roman"/>
                <w:lang w:eastAsia="en-US"/>
              </w:rPr>
              <w:t>there are many negative side</w:t>
            </w:r>
            <w:r w:rsidR="00CB6140">
              <w:rPr>
                <w:rFonts w:ascii="Calibri" w:eastAsia="Calibri" w:hAnsi="Calibri" w:cs="Times New Roman"/>
                <w:lang w:eastAsia="en-US"/>
              </w:rPr>
              <w:t xml:space="preserve"> </w:t>
            </w:r>
            <w:r w:rsidRPr="00244131">
              <w:rPr>
                <w:rFonts w:ascii="Calibri" w:eastAsia="Calibri" w:hAnsi="Calibri" w:cs="Times New Roman"/>
                <w:lang w:eastAsia="en-US"/>
              </w:rPr>
              <w:t xml:space="preserve">effects </w:t>
            </w:r>
            <w:r w:rsidR="00DC54B3">
              <w:rPr>
                <w:rFonts w:ascii="Calibri" w:eastAsia="Calibri" w:hAnsi="Calibri" w:cs="Times New Roman"/>
                <w:lang w:eastAsia="en-US"/>
              </w:rPr>
              <w:t>to the use of</w:t>
            </w:r>
            <w:r w:rsidR="00CB6140">
              <w:rPr>
                <w:rFonts w:ascii="Calibri" w:eastAsia="Calibri" w:hAnsi="Calibri" w:cs="Times New Roman"/>
                <w:lang w:eastAsia="en-US"/>
              </w:rPr>
              <w:t xml:space="preserve"> this measure </w:t>
            </w:r>
            <w:r w:rsidRPr="00244131">
              <w:rPr>
                <w:rFonts w:ascii="Calibri" w:eastAsia="Calibri" w:hAnsi="Calibri" w:cs="Times New Roman"/>
                <w:lang w:eastAsia="en-US"/>
              </w:rPr>
              <w:t>(</w:t>
            </w:r>
            <w:r w:rsidR="00CB6140">
              <w:rPr>
                <w:rFonts w:ascii="Calibri" w:eastAsia="Calibri" w:hAnsi="Calibri" w:cs="Times New Roman"/>
                <w:lang w:eastAsia="en-US"/>
              </w:rPr>
              <w:t>e.g.</w:t>
            </w:r>
            <w:r w:rsidRPr="00244131">
              <w:rPr>
                <w:rFonts w:ascii="Calibri" w:eastAsia="Calibri" w:hAnsi="Calibri" w:cs="Times New Roman"/>
                <w:lang w:eastAsia="en-US"/>
              </w:rPr>
              <w:t xml:space="preserve"> promoting the species for its economic value may decrease understanding of the need for </w:t>
            </w:r>
            <w:r w:rsidR="00CB6140">
              <w:rPr>
                <w:rFonts w:ascii="Calibri" w:eastAsia="Calibri" w:hAnsi="Calibri" w:cs="Times New Roman"/>
                <w:lang w:eastAsia="en-US"/>
              </w:rPr>
              <w:t>its</w:t>
            </w:r>
            <w:r w:rsidR="00CB6140" w:rsidRPr="00244131">
              <w:rPr>
                <w:rFonts w:ascii="Calibri" w:eastAsia="Calibri" w:hAnsi="Calibri" w:cs="Times New Roman"/>
                <w:lang w:eastAsia="en-US"/>
              </w:rPr>
              <w:t xml:space="preserve"> </w:t>
            </w:r>
            <w:r w:rsidRPr="00244131">
              <w:rPr>
                <w:rFonts w:ascii="Calibri" w:eastAsia="Calibri" w:hAnsi="Calibri" w:cs="Times New Roman"/>
                <w:lang w:eastAsia="en-US"/>
              </w:rPr>
              <w:t xml:space="preserve">control). </w:t>
            </w:r>
            <w:r w:rsidR="00DC54B3">
              <w:rPr>
                <w:rFonts w:ascii="Calibri" w:eastAsia="Calibri" w:hAnsi="Calibri" w:cs="Times New Roman"/>
                <w:lang w:eastAsia="en-US"/>
              </w:rPr>
              <w:t>A</w:t>
            </w:r>
            <w:r w:rsidRPr="00244131">
              <w:rPr>
                <w:rFonts w:ascii="Calibri" w:eastAsia="Calibri" w:hAnsi="Calibri" w:cs="Times New Roman"/>
                <w:lang w:eastAsia="en-US"/>
              </w:rPr>
              <w:t xml:space="preserve">ccording to EU Regulation 1143/2014, art. 19 “The commercial use of already established invasive alien species may be temporarily allowed as part of the management measures aimed at their eradication, population control or containment, under strict justification and provided that all appropriate controls are in place to avoid any further spread”. This is a measure that should be carefully evaluated case by case. Finally, </w:t>
            </w:r>
            <w:r w:rsidR="00DC54B3">
              <w:rPr>
                <w:rFonts w:ascii="Calibri" w:eastAsia="Calibri" w:hAnsi="Calibri" w:cs="Times New Roman"/>
                <w:lang w:eastAsia="en-US"/>
              </w:rPr>
              <w:t xml:space="preserve">although </w:t>
            </w:r>
            <w:r w:rsidRPr="00244131">
              <w:rPr>
                <w:rFonts w:ascii="Calibri" w:eastAsia="Calibri" w:hAnsi="Calibri" w:cs="Times New Roman"/>
                <w:lang w:eastAsia="en-US"/>
              </w:rPr>
              <w:t xml:space="preserve">the use of this measure as </w:t>
            </w:r>
            <w:r w:rsidR="00DC54B3">
              <w:rPr>
                <w:rFonts w:ascii="Calibri" w:eastAsia="Calibri" w:hAnsi="Calibri" w:cs="Times New Roman"/>
                <w:lang w:eastAsia="en-US"/>
              </w:rPr>
              <w:t xml:space="preserve">a </w:t>
            </w:r>
            <w:r w:rsidRPr="00244131">
              <w:rPr>
                <w:rFonts w:ascii="Calibri" w:eastAsia="Calibri" w:hAnsi="Calibri" w:cs="Times New Roman"/>
                <w:lang w:eastAsia="en-US"/>
              </w:rPr>
              <w:t>control tool has elicited strong debate</w:t>
            </w:r>
            <w:r w:rsidR="00C05CD3">
              <w:rPr>
                <w:rFonts w:ascii="Calibri" w:eastAsia="Calibri" w:hAnsi="Calibri" w:cs="Times New Roman"/>
                <w:lang w:eastAsia="en-US"/>
              </w:rPr>
              <w:t>,</w:t>
            </w:r>
            <w:r w:rsidR="00976A39">
              <w:rPr>
                <w:rFonts w:ascii="Calibri" w:eastAsia="Calibri" w:hAnsi="Calibri" w:cs="Times New Roman"/>
                <w:lang w:eastAsia="en-US"/>
              </w:rPr>
              <w:t xml:space="preserve"> as there is a risk for promoting further spread</w:t>
            </w:r>
            <w:r w:rsidRPr="00244131">
              <w:rPr>
                <w:rFonts w:ascii="Calibri" w:eastAsia="Calibri" w:hAnsi="Calibri" w:cs="Times New Roman"/>
                <w:lang w:eastAsia="en-US"/>
              </w:rPr>
              <w:t xml:space="preserve">, </w:t>
            </w:r>
            <w:r w:rsidR="00DC54B3" w:rsidRPr="00244131">
              <w:rPr>
                <w:rFonts w:ascii="Calibri" w:eastAsia="Calibri" w:hAnsi="Calibri" w:cs="Times New Roman"/>
                <w:lang w:eastAsia="en-US"/>
              </w:rPr>
              <w:t xml:space="preserve">in some cases </w:t>
            </w:r>
            <w:r w:rsidRPr="00244131">
              <w:rPr>
                <w:rFonts w:ascii="Calibri" w:eastAsia="Calibri" w:hAnsi="Calibri" w:cs="Times New Roman"/>
                <w:lang w:eastAsia="en-US"/>
              </w:rPr>
              <w:t xml:space="preserve">it could represent the only </w:t>
            </w:r>
            <w:r w:rsidR="00DC54B3">
              <w:rPr>
                <w:rFonts w:ascii="Calibri" w:eastAsia="Calibri" w:hAnsi="Calibri" w:cs="Times New Roman"/>
                <w:lang w:eastAsia="en-US"/>
              </w:rPr>
              <w:t xml:space="preserve">viable </w:t>
            </w:r>
            <w:r w:rsidRPr="00244131">
              <w:rPr>
                <w:rFonts w:ascii="Calibri" w:eastAsia="Calibri" w:hAnsi="Calibri" w:cs="Times New Roman"/>
                <w:lang w:eastAsia="en-US"/>
              </w:rPr>
              <w:t>option (</w:t>
            </w:r>
            <w:r w:rsidR="00DC54B3">
              <w:rPr>
                <w:rFonts w:ascii="Calibri" w:eastAsia="Calibri" w:hAnsi="Calibri" w:cs="Times New Roman"/>
                <w:lang w:eastAsia="en-US"/>
              </w:rPr>
              <w:t xml:space="preserve">e.g. </w:t>
            </w:r>
            <w:r w:rsidRPr="00244131">
              <w:rPr>
                <w:rFonts w:ascii="Calibri" w:eastAsia="Calibri" w:hAnsi="Calibri" w:cs="Times New Roman"/>
                <w:lang w:eastAsia="en-US"/>
              </w:rPr>
              <w:t>when no other measures are successful</w:t>
            </w:r>
            <w:r w:rsidR="00DC54B3">
              <w:rPr>
                <w:rFonts w:ascii="Calibri" w:eastAsia="Calibri" w:hAnsi="Calibri" w:cs="Times New Roman"/>
                <w:lang w:eastAsia="en-US"/>
              </w:rPr>
              <w:t>,</w:t>
            </w:r>
            <w:r w:rsidRPr="00244131">
              <w:rPr>
                <w:rFonts w:ascii="Calibri" w:eastAsia="Calibri" w:hAnsi="Calibri" w:cs="Times New Roman"/>
                <w:lang w:eastAsia="en-US"/>
              </w:rPr>
              <w:t xml:space="preserve"> or possible</w:t>
            </w:r>
            <w:r w:rsidR="00DC54B3">
              <w:rPr>
                <w:rFonts w:ascii="Calibri" w:eastAsia="Calibri" w:hAnsi="Calibri" w:cs="Times New Roman"/>
                <w:lang w:eastAsia="en-US"/>
              </w:rPr>
              <w:t>,</w:t>
            </w:r>
            <w:r w:rsidRPr="00244131">
              <w:rPr>
                <w:rFonts w:ascii="Calibri" w:eastAsia="Calibri" w:hAnsi="Calibri" w:cs="Times New Roman"/>
                <w:lang w:eastAsia="en-US"/>
              </w:rPr>
              <w:t xml:space="preserve"> and population</w:t>
            </w:r>
            <w:r w:rsidR="00DC54B3">
              <w:rPr>
                <w:rFonts w:ascii="Calibri" w:eastAsia="Calibri" w:hAnsi="Calibri" w:cs="Times New Roman"/>
                <w:lang w:eastAsia="en-US"/>
              </w:rPr>
              <w:t>s</w:t>
            </w:r>
            <w:r w:rsidRPr="00244131">
              <w:rPr>
                <w:rFonts w:ascii="Calibri" w:eastAsia="Calibri" w:hAnsi="Calibri" w:cs="Times New Roman"/>
                <w:lang w:eastAsia="en-US"/>
              </w:rPr>
              <w:t xml:space="preserve"> </w:t>
            </w:r>
            <w:r w:rsidR="00DC54B3">
              <w:rPr>
                <w:rFonts w:ascii="Calibri" w:eastAsia="Calibri" w:hAnsi="Calibri" w:cs="Times New Roman"/>
                <w:lang w:eastAsia="en-US"/>
              </w:rPr>
              <w:t>have to</w:t>
            </w:r>
            <w:r w:rsidR="00DC54B3" w:rsidRPr="00244131">
              <w:rPr>
                <w:rFonts w:ascii="Calibri" w:eastAsia="Calibri" w:hAnsi="Calibri" w:cs="Times New Roman"/>
                <w:lang w:eastAsia="en-US"/>
              </w:rPr>
              <w:t xml:space="preserve"> </w:t>
            </w:r>
            <w:r w:rsidRPr="00244131">
              <w:rPr>
                <w:rFonts w:ascii="Calibri" w:eastAsia="Calibri" w:hAnsi="Calibri" w:cs="Times New Roman"/>
                <w:lang w:eastAsia="en-US"/>
              </w:rPr>
              <w:t>be controlled)</w:t>
            </w:r>
            <w:r w:rsidR="00DC54B3">
              <w:rPr>
                <w:rFonts w:ascii="Calibri" w:eastAsia="Calibri" w:hAnsi="Calibri" w:cs="Times New Roman"/>
                <w:lang w:eastAsia="en-US"/>
              </w:rPr>
              <w:t>.</w:t>
            </w:r>
            <w:r w:rsidR="008D57E0">
              <w:rPr>
                <w:rFonts w:ascii="Calibri" w:eastAsia="Calibri" w:hAnsi="Calibri" w:cs="Times New Roman"/>
                <w:lang w:eastAsia="en-US"/>
              </w:rPr>
              <w:t xml:space="preserve"> </w:t>
            </w:r>
          </w:p>
          <w:p w14:paraId="60226899" w14:textId="77777777" w:rsidR="00C05CD3" w:rsidRDefault="00C05CD3" w:rsidP="00244131">
            <w:pPr>
              <w:spacing w:line="257" w:lineRule="auto"/>
              <w:rPr>
                <w:rFonts w:ascii="Calibri" w:eastAsia="Calibri" w:hAnsi="Calibri" w:cs="Times New Roman"/>
                <w:b/>
                <w:lang w:eastAsia="en-US"/>
              </w:rPr>
            </w:pPr>
          </w:p>
          <w:p w14:paraId="4865A2D6" w14:textId="1C72187E" w:rsidR="00244131" w:rsidRPr="00244131" w:rsidRDefault="00244131" w:rsidP="00244131">
            <w:pPr>
              <w:spacing w:line="257" w:lineRule="auto"/>
              <w:rPr>
                <w:rFonts w:ascii="Calibri" w:eastAsia="Calibri" w:hAnsi="Calibri" w:cs="Times New Roman"/>
                <w:b/>
                <w:lang w:eastAsia="en-US"/>
              </w:rPr>
            </w:pPr>
            <w:r w:rsidRPr="00244131">
              <w:rPr>
                <w:rFonts w:ascii="Calibri" w:eastAsia="Calibri" w:hAnsi="Calibri" w:cs="Times New Roman"/>
                <w:b/>
                <w:lang w:eastAsia="en-US"/>
              </w:rPr>
              <w:t>Summary of proposed measures in this technical note</w:t>
            </w:r>
          </w:p>
          <w:p w14:paraId="7E24D1DE" w14:textId="77777777" w:rsidR="00244131" w:rsidRPr="00244131" w:rsidRDefault="00244131" w:rsidP="00244131">
            <w:pPr>
              <w:spacing w:line="257" w:lineRule="auto"/>
              <w:rPr>
                <w:rFonts w:ascii="Calibri" w:eastAsia="Calibri" w:hAnsi="Calibri" w:cs="Times New Roman"/>
                <w:lang w:eastAsia="en-US"/>
              </w:rPr>
            </w:pPr>
          </w:p>
          <w:p w14:paraId="65942197" w14:textId="402F7858" w:rsidR="00244131" w:rsidRPr="00244131" w:rsidRDefault="00244131" w:rsidP="00244131">
            <w:pPr>
              <w:spacing w:line="257" w:lineRule="auto"/>
              <w:rPr>
                <w:rFonts w:ascii="Calibri" w:eastAsia="Calibri" w:hAnsi="Calibri" w:cs="Times New Roman"/>
                <w:b/>
                <w:lang w:eastAsia="en-US"/>
              </w:rPr>
            </w:pPr>
            <w:r>
              <w:rPr>
                <w:rFonts w:ascii="Calibri" w:eastAsia="Calibri" w:hAnsi="Calibri" w:cs="Times New Roman"/>
                <w:b/>
                <w:lang w:eastAsia="en-US"/>
              </w:rPr>
              <w:t xml:space="preserve">1) </w:t>
            </w:r>
            <w:r w:rsidRPr="00244131">
              <w:rPr>
                <w:rFonts w:ascii="Calibri" w:eastAsia="Calibri" w:hAnsi="Calibri" w:cs="Times New Roman"/>
                <w:b/>
                <w:lang w:eastAsia="en-US"/>
              </w:rPr>
              <w:t>Prevention</w:t>
            </w:r>
            <w:r w:rsidR="00225D23">
              <w:rPr>
                <w:rFonts w:ascii="Calibri" w:eastAsia="Calibri" w:hAnsi="Calibri" w:cs="Times New Roman"/>
                <w:b/>
                <w:lang w:eastAsia="en-US"/>
              </w:rPr>
              <w:t xml:space="preserve"> </w:t>
            </w:r>
            <w:r w:rsidR="00225D23">
              <w:rPr>
                <w:rFonts w:eastAsia="Times New Roman" w:cstheme="minorHAnsi"/>
                <w:b/>
              </w:rPr>
              <w:t>of unintentional introductions</w:t>
            </w:r>
          </w:p>
          <w:p w14:paraId="7ED98614" w14:textId="3A176F3A" w:rsid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Ballast water management</w:t>
            </w:r>
            <w:r w:rsidR="00225D23">
              <w:rPr>
                <w:rFonts w:ascii="Calibri" w:eastAsia="Calibri" w:hAnsi="Calibri" w:cs="Times New Roman"/>
                <w:lang w:eastAsia="en-US"/>
              </w:rPr>
              <w:t xml:space="preserve"> </w:t>
            </w:r>
          </w:p>
          <w:p w14:paraId="3012D824" w14:textId="41947E35" w:rsidR="00C02258" w:rsidRPr="00244131" w:rsidRDefault="00C02258" w:rsidP="00244131">
            <w:pPr>
              <w:spacing w:line="257" w:lineRule="auto"/>
              <w:rPr>
                <w:rFonts w:ascii="Calibri" w:eastAsia="Calibri" w:hAnsi="Calibri" w:cs="Times New Roman"/>
                <w:lang w:eastAsia="en-US"/>
              </w:rPr>
            </w:pPr>
            <w:r>
              <w:rPr>
                <w:rFonts w:ascii="Calibri" w:eastAsia="Calibri" w:hAnsi="Calibri" w:cs="Times New Roman"/>
                <w:lang w:eastAsia="en-US"/>
              </w:rPr>
              <w:t>Biofouling management</w:t>
            </w:r>
          </w:p>
          <w:p w14:paraId="5A34AC6F" w14:textId="77777777" w:rsidR="00244131" w:rsidRDefault="00244131" w:rsidP="00244131">
            <w:pPr>
              <w:spacing w:line="257" w:lineRule="auto"/>
              <w:rPr>
                <w:rFonts w:ascii="Calibri" w:eastAsia="Calibri" w:hAnsi="Calibri" w:cs="Times New Roman"/>
                <w:b/>
                <w:lang w:eastAsia="en-US"/>
              </w:rPr>
            </w:pPr>
          </w:p>
          <w:p w14:paraId="2EE788D3" w14:textId="7C1A7CAF" w:rsidR="00244131" w:rsidRDefault="00244131" w:rsidP="00244131">
            <w:pPr>
              <w:spacing w:line="257" w:lineRule="auto"/>
              <w:rPr>
                <w:rFonts w:ascii="Calibri" w:eastAsia="Calibri" w:hAnsi="Calibri" w:cs="Times New Roman"/>
                <w:b/>
                <w:lang w:eastAsia="en-US"/>
              </w:rPr>
            </w:pPr>
            <w:r>
              <w:rPr>
                <w:rFonts w:ascii="Calibri" w:eastAsia="Calibri" w:hAnsi="Calibri" w:cs="Times New Roman"/>
                <w:b/>
                <w:lang w:eastAsia="en-US"/>
              </w:rPr>
              <w:t xml:space="preserve">2) </w:t>
            </w:r>
            <w:r w:rsidR="00BC3A84">
              <w:rPr>
                <w:rFonts w:ascii="Calibri" w:eastAsia="Calibri" w:hAnsi="Calibri" w:cs="Times New Roman"/>
                <w:b/>
                <w:lang w:eastAsia="en-US"/>
              </w:rPr>
              <w:t>Prevention of s</w:t>
            </w:r>
            <w:r w:rsidRPr="00244131">
              <w:rPr>
                <w:rFonts w:ascii="Calibri" w:eastAsia="Calibri" w:hAnsi="Calibri" w:cs="Times New Roman"/>
                <w:b/>
                <w:lang w:eastAsia="en-US"/>
              </w:rPr>
              <w:t xml:space="preserve">econdary spread </w:t>
            </w:r>
          </w:p>
          <w:p w14:paraId="1F2E4DA5" w14:textId="7A22B973" w:rsidR="00601428" w:rsidRPr="00601428" w:rsidRDefault="00601428" w:rsidP="00244131">
            <w:pPr>
              <w:spacing w:line="257" w:lineRule="auto"/>
              <w:rPr>
                <w:rFonts w:ascii="Calibri" w:eastAsia="Calibri" w:hAnsi="Calibri" w:cs="Times New Roman"/>
                <w:bCs/>
                <w:lang w:eastAsia="en-US"/>
              </w:rPr>
            </w:pPr>
            <w:r w:rsidRPr="00601428">
              <w:rPr>
                <w:rFonts w:ascii="Calibri" w:eastAsia="Calibri" w:hAnsi="Calibri" w:cs="Times New Roman"/>
                <w:bCs/>
                <w:lang w:eastAsia="en-US"/>
              </w:rPr>
              <w:t>Biosecurity measures and public awareness</w:t>
            </w:r>
          </w:p>
          <w:p w14:paraId="30914903" w14:textId="3156DF48" w:rsidR="008D57E0" w:rsidRPr="00223E34" w:rsidRDefault="008D57E0" w:rsidP="00244131">
            <w:pPr>
              <w:spacing w:line="257" w:lineRule="auto"/>
              <w:rPr>
                <w:rFonts w:ascii="Calibri" w:eastAsia="Calibri" w:hAnsi="Calibri" w:cs="Times New Roman"/>
                <w:lang w:val="en-US" w:eastAsia="en-US"/>
              </w:rPr>
            </w:pPr>
            <w:r w:rsidRPr="00244131">
              <w:rPr>
                <w:rFonts w:ascii="Calibri" w:eastAsia="Calibri" w:hAnsi="Calibri" w:cs="Times New Roman"/>
                <w:lang w:eastAsia="en-US"/>
              </w:rPr>
              <w:t xml:space="preserve">Installing barriers </w:t>
            </w:r>
            <w:r w:rsidR="00976A39">
              <w:rPr>
                <w:rFonts w:ascii="Calibri" w:eastAsia="Calibri" w:hAnsi="Calibri" w:cs="Times New Roman"/>
                <w:lang w:eastAsia="en-US"/>
              </w:rPr>
              <w:t>(also for rapid eradication and management)</w:t>
            </w:r>
          </w:p>
          <w:p w14:paraId="0378DF99" w14:textId="50AACB7C"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 xml:space="preserve">Trapping (also for early detection, </w:t>
            </w:r>
            <w:r w:rsidR="0061038A">
              <w:rPr>
                <w:rFonts w:ascii="Calibri" w:eastAsia="Calibri" w:hAnsi="Calibri" w:cs="Times New Roman"/>
                <w:lang w:eastAsia="en-US"/>
              </w:rPr>
              <w:t>rapid</w:t>
            </w:r>
            <w:r w:rsidR="0061038A" w:rsidRPr="00244131">
              <w:rPr>
                <w:rFonts w:ascii="Calibri" w:eastAsia="Calibri" w:hAnsi="Calibri" w:cs="Times New Roman"/>
                <w:lang w:eastAsia="en-US"/>
              </w:rPr>
              <w:t xml:space="preserve"> </w:t>
            </w:r>
            <w:r w:rsidRPr="00244131">
              <w:rPr>
                <w:rFonts w:ascii="Calibri" w:eastAsia="Calibri" w:hAnsi="Calibri" w:cs="Times New Roman"/>
                <w:lang w:eastAsia="en-US"/>
              </w:rPr>
              <w:t>eradication and management)</w:t>
            </w:r>
          </w:p>
          <w:p w14:paraId="4F2694FF" w14:textId="77777777" w:rsidR="00244131" w:rsidRPr="00244131" w:rsidRDefault="00244131" w:rsidP="00244131">
            <w:pPr>
              <w:spacing w:line="257" w:lineRule="auto"/>
              <w:rPr>
                <w:rFonts w:ascii="Calibri" w:eastAsia="Calibri" w:hAnsi="Calibri" w:cs="Times New Roman"/>
                <w:lang w:eastAsia="en-US"/>
              </w:rPr>
            </w:pPr>
          </w:p>
          <w:p w14:paraId="162EDF1E" w14:textId="57CE8985" w:rsidR="00244131" w:rsidRPr="00244131" w:rsidRDefault="00244131" w:rsidP="00244131">
            <w:pPr>
              <w:spacing w:line="257" w:lineRule="auto"/>
              <w:rPr>
                <w:rFonts w:ascii="Calibri" w:eastAsia="Calibri" w:hAnsi="Calibri" w:cs="Times New Roman"/>
                <w:b/>
                <w:lang w:eastAsia="en-US"/>
              </w:rPr>
            </w:pPr>
            <w:r>
              <w:rPr>
                <w:rFonts w:ascii="Calibri" w:eastAsia="Calibri" w:hAnsi="Calibri" w:cs="Times New Roman"/>
                <w:b/>
                <w:lang w:eastAsia="en-US"/>
              </w:rPr>
              <w:t xml:space="preserve">3) </w:t>
            </w:r>
            <w:r w:rsidR="00DD3AB5">
              <w:rPr>
                <w:rFonts w:ascii="Calibri" w:eastAsia="Calibri" w:hAnsi="Calibri" w:cs="Times New Roman"/>
                <w:b/>
                <w:lang w:eastAsia="en-US"/>
              </w:rPr>
              <w:t>Surveillance measures for e</w:t>
            </w:r>
            <w:r w:rsidRPr="00244131">
              <w:rPr>
                <w:rFonts w:ascii="Calibri" w:eastAsia="Calibri" w:hAnsi="Calibri" w:cs="Times New Roman"/>
                <w:b/>
                <w:lang w:eastAsia="en-US"/>
              </w:rPr>
              <w:t>arly detection</w:t>
            </w:r>
          </w:p>
          <w:p w14:paraId="1F324BA1" w14:textId="77777777"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lastRenderedPageBreak/>
              <w:t>Establish early detection networks</w:t>
            </w:r>
          </w:p>
          <w:p w14:paraId="678C2F23" w14:textId="7B1FB4EB"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 xml:space="preserve">eDNA </w:t>
            </w:r>
            <w:r w:rsidRPr="00C56F22">
              <w:rPr>
                <w:rFonts w:ascii="Calibri" w:eastAsia="Calibri" w:hAnsi="Calibri" w:cs="Times New Roman"/>
                <w:lang w:eastAsia="en-US"/>
              </w:rPr>
              <w:t xml:space="preserve">monitoring </w:t>
            </w:r>
          </w:p>
          <w:p w14:paraId="07F92EC8" w14:textId="14B490BB"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 xml:space="preserve">Develop </w:t>
            </w:r>
            <w:r w:rsidR="000673E9">
              <w:rPr>
                <w:rFonts w:ascii="Calibri" w:eastAsia="Calibri" w:hAnsi="Calibri" w:cs="Times New Roman"/>
                <w:lang w:eastAsia="en-US"/>
              </w:rPr>
              <w:t xml:space="preserve">a </w:t>
            </w:r>
            <w:r w:rsidRPr="00244131">
              <w:rPr>
                <w:rFonts w:ascii="Calibri" w:eastAsia="Calibri" w:hAnsi="Calibri" w:cs="Times New Roman"/>
                <w:lang w:eastAsia="en-US"/>
              </w:rPr>
              <w:t>citizen science program</w:t>
            </w:r>
          </w:p>
          <w:p w14:paraId="7D8452B1" w14:textId="77777777" w:rsidR="00244131" w:rsidRPr="00244131" w:rsidRDefault="00244131" w:rsidP="00244131">
            <w:pPr>
              <w:spacing w:line="257" w:lineRule="auto"/>
              <w:rPr>
                <w:rFonts w:ascii="Calibri" w:eastAsia="Calibri" w:hAnsi="Calibri" w:cs="Times New Roman"/>
                <w:b/>
                <w:lang w:eastAsia="en-US"/>
              </w:rPr>
            </w:pPr>
          </w:p>
          <w:p w14:paraId="58655EAA" w14:textId="5FE827A8" w:rsidR="00244131" w:rsidRPr="00244131" w:rsidRDefault="00244131" w:rsidP="00244131">
            <w:pPr>
              <w:spacing w:line="257" w:lineRule="auto"/>
              <w:rPr>
                <w:rFonts w:ascii="Calibri" w:eastAsia="Calibri" w:hAnsi="Calibri" w:cs="Times New Roman"/>
                <w:b/>
                <w:lang w:eastAsia="en-US"/>
              </w:rPr>
            </w:pPr>
            <w:r>
              <w:rPr>
                <w:rFonts w:ascii="Calibri" w:eastAsia="Calibri" w:hAnsi="Calibri" w:cs="Times New Roman"/>
                <w:b/>
                <w:lang w:eastAsia="en-US"/>
              </w:rPr>
              <w:t xml:space="preserve">4) </w:t>
            </w:r>
            <w:r w:rsidRPr="00244131">
              <w:rPr>
                <w:rFonts w:ascii="Calibri" w:eastAsia="Calibri" w:hAnsi="Calibri" w:cs="Times New Roman"/>
                <w:b/>
                <w:lang w:eastAsia="en-US"/>
              </w:rPr>
              <w:t>Rapid eradication</w:t>
            </w:r>
          </w:p>
          <w:p w14:paraId="43ED7E18" w14:textId="77777777" w:rsidR="00244131" w:rsidRPr="00244131"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Integrated Pest Management (IPM) (also for management)</w:t>
            </w:r>
          </w:p>
          <w:p w14:paraId="090B2C7F" w14:textId="77777777" w:rsidR="00244131" w:rsidRPr="00244131" w:rsidRDefault="00244131" w:rsidP="00244131">
            <w:pPr>
              <w:spacing w:line="257" w:lineRule="auto"/>
              <w:rPr>
                <w:rFonts w:ascii="Calibri" w:eastAsia="Calibri" w:hAnsi="Calibri" w:cs="Times New Roman"/>
                <w:lang w:eastAsia="en-US"/>
              </w:rPr>
            </w:pPr>
          </w:p>
          <w:p w14:paraId="0CB6CC72" w14:textId="6BFD9586" w:rsidR="00244131" w:rsidRPr="00244131" w:rsidRDefault="00244131" w:rsidP="00244131">
            <w:pPr>
              <w:spacing w:line="257" w:lineRule="auto"/>
              <w:rPr>
                <w:rFonts w:ascii="Calibri" w:eastAsia="Calibri" w:hAnsi="Calibri" w:cs="Times New Roman"/>
                <w:b/>
                <w:lang w:eastAsia="en-US"/>
              </w:rPr>
            </w:pPr>
            <w:r>
              <w:rPr>
                <w:rFonts w:ascii="Calibri" w:eastAsia="Calibri" w:hAnsi="Calibri" w:cs="Times New Roman"/>
                <w:b/>
                <w:lang w:eastAsia="en-US"/>
              </w:rPr>
              <w:t xml:space="preserve">5) </w:t>
            </w:r>
            <w:r w:rsidRPr="00244131">
              <w:rPr>
                <w:rFonts w:ascii="Calibri" w:eastAsia="Calibri" w:hAnsi="Calibri" w:cs="Times New Roman"/>
                <w:b/>
                <w:lang w:eastAsia="en-US"/>
              </w:rPr>
              <w:t>Management</w:t>
            </w:r>
          </w:p>
          <w:p w14:paraId="1EB629B8" w14:textId="77777777" w:rsidR="0074557F" w:rsidRDefault="00244131" w:rsidP="00244131">
            <w:pPr>
              <w:spacing w:line="257" w:lineRule="auto"/>
              <w:rPr>
                <w:rFonts w:ascii="Calibri" w:eastAsia="Calibri" w:hAnsi="Calibri" w:cs="Times New Roman"/>
                <w:lang w:eastAsia="en-US"/>
              </w:rPr>
            </w:pPr>
            <w:r w:rsidRPr="00244131">
              <w:rPr>
                <w:rFonts w:ascii="Calibri" w:eastAsia="Calibri" w:hAnsi="Calibri" w:cs="Times New Roman"/>
                <w:lang w:eastAsia="en-US"/>
              </w:rPr>
              <w:t>Commercial use</w:t>
            </w:r>
          </w:p>
          <w:p w14:paraId="7FD7C7F5" w14:textId="09CD294D" w:rsidR="00B461CD" w:rsidRDefault="00B461CD" w:rsidP="00244131">
            <w:pPr>
              <w:spacing w:line="257" w:lineRule="auto"/>
              <w:rPr>
                <w:rFonts w:eastAsia="Times New Roman" w:cstheme="minorHAnsi"/>
                <w:b/>
                <w:sz w:val="24"/>
                <w:szCs w:val="24"/>
              </w:rPr>
            </w:pPr>
          </w:p>
        </w:tc>
      </w:tr>
    </w:tbl>
    <w:p w14:paraId="6273FDE0" w14:textId="16DF7868" w:rsidR="00D40558" w:rsidRDefault="00D40558"/>
    <w:tbl>
      <w:tblPr>
        <w:tblStyle w:val="TableGrid"/>
        <w:tblW w:w="0" w:type="auto"/>
        <w:tblLook w:val="04A0" w:firstRow="1" w:lastRow="0" w:firstColumn="1" w:lastColumn="0" w:noHBand="0" w:noVBand="1"/>
      </w:tblPr>
      <w:tblGrid>
        <w:gridCol w:w="3295"/>
        <w:gridCol w:w="10653"/>
      </w:tblGrid>
      <w:tr w:rsidR="00E11061" w14:paraId="42CBB620" w14:textId="1798D253" w:rsidTr="00E11061">
        <w:tc>
          <w:tcPr>
            <w:tcW w:w="13948" w:type="dxa"/>
            <w:gridSpan w:val="2"/>
            <w:shd w:val="clear" w:color="auto" w:fill="95B3D7" w:themeFill="accent1" w:themeFillTint="99"/>
          </w:tcPr>
          <w:p w14:paraId="5CC983CE" w14:textId="3AB4B189" w:rsidR="00E11061" w:rsidRDefault="00E11061" w:rsidP="00346840">
            <w:pPr>
              <w:pStyle w:val="NoSpacing"/>
              <w:rPr>
                <w:rFonts w:eastAsia="Times New Roman"/>
                <w:b/>
                <w:sz w:val="28"/>
              </w:rPr>
            </w:pPr>
            <w:r>
              <w:rPr>
                <w:rFonts w:eastAsia="Times New Roman"/>
                <w:b/>
                <w:sz w:val="28"/>
              </w:rPr>
              <w:t>Prevention</w:t>
            </w:r>
            <w:r w:rsidR="003F0B6C">
              <w:rPr>
                <w:rFonts w:eastAsia="Times New Roman"/>
                <w:b/>
                <w:sz w:val="28"/>
              </w:rPr>
              <w:t xml:space="preserve"> of </w:t>
            </w:r>
            <w:r w:rsidR="003F0B6C" w:rsidRPr="00346840">
              <w:rPr>
                <w:rFonts w:eastAsia="Times New Roman"/>
                <w:b/>
                <w:sz w:val="28"/>
                <w:u w:val="single"/>
              </w:rPr>
              <w:t>intentional</w:t>
            </w:r>
            <w:r w:rsidR="003F0B6C">
              <w:rPr>
                <w:rFonts w:eastAsia="Times New Roman"/>
                <w:b/>
                <w:sz w:val="28"/>
              </w:rPr>
              <w:t xml:space="preserve"> introductions</w:t>
            </w:r>
            <w:r w:rsidR="0035143B">
              <w:rPr>
                <w:rFonts w:eastAsia="Times New Roman"/>
                <w:b/>
                <w:sz w:val="28"/>
              </w:rPr>
              <w:t xml:space="preserve"> and spread</w:t>
            </w:r>
            <w:r w:rsidR="00346840">
              <w:rPr>
                <w:rFonts w:eastAsia="Times New Roman"/>
                <w:b/>
                <w:sz w:val="28"/>
              </w:rPr>
              <w:t xml:space="preserve"> </w:t>
            </w:r>
            <w:r>
              <w:rPr>
                <w:rFonts w:cstheme="minorHAnsi"/>
                <w:sz w:val="20"/>
                <w:szCs w:val="20"/>
              </w:rPr>
              <w:t xml:space="preserve">– </w:t>
            </w:r>
            <w:r w:rsidR="008C4B5B">
              <w:rPr>
                <w:rFonts w:cstheme="minorHAnsi"/>
                <w:sz w:val="20"/>
                <w:szCs w:val="20"/>
              </w:rPr>
              <w:t>measures for preventi</w:t>
            </w:r>
            <w:r w:rsidR="003F0B6C">
              <w:rPr>
                <w:rFonts w:cstheme="minorHAnsi"/>
                <w:sz w:val="20"/>
                <w:szCs w:val="20"/>
              </w:rPr>
              <w:t>ng the species being introduced</w:t>
            </w:r>
            <w:r w:rsidR="008C4B5B">
              <w:rPr>
                <w:rFonts w:cstheme="minorHAnsi"/>
                <w:sz w:val="20"/>
                <w:szCs w:val="20"/>
              </w:rPr>
              <w:t xml:space="preserve"> intentionally.</w:t>
            </w:r>
            <w:r w:rsidR="008C4B5B" w:rsidRPr="00280410">
              <w:rPr>
                <w:rFonts w:cstheme="minorHAnsi"/>
                <w:sz w:val="20"/>
                <w:szCs w:val="20"/>
              </w:rPr>
              <w:t xml:space="preserve"> </w:t>
            </w:r>
            <w:r w:rsidR="008C4B5B">
              <w:rPr>
                <w:rFonts w:cstheme="minorHAnsi"/>
                <w:b/>
                <w:sz w:val="20"/>
                <w:szCs w:val="24"/>
              </w:rPr>
              <w:t>T</w:t>
            </w:r>
            <w:r w:rsidR="008C4B5B" w:rsidRPr="00280410">
              <w:rPr>
                <w:rFonts w:cstheme="minorHAnsi"/>
                <w:b/>
                <w:sz w:val="20"/>
                <w:szCs w:val="24"/>
              </w:rPr>
              <w:t xml:space="preserve">his table </w:t>
            </w:r>
            <w:r w:rsidR="008C4B5B">
              <w:rPr>
                <w:rFonts w:cstheme="minorHAnsi"/>
                <w:b/>
                <w:sz w:val="20"/>
                <w:szCs w:val="24"/>
              </w:rPr>
              <w:t xml:space="preserve">is repeated for each of the </w:t>
            </w:r>
            <w:r w:rsidR="008C4B5B" w:rsidRPr="00280410">
              <w:rPr>
                <w:rFonts w:cstheme="minorHAnsi"/>
                <w:b/>
                <w:sz w:val="20"/>
                <w:szCs w:val="24"/>
              </w:rPr>
              <w:t>prevention measures</w:t>
            </w:r>
            <w:r w:rsidR="008C4B5B">
              <w:rPr>
                <w:rFonts w:cstheme="minorHAnsi"/>
                <w:b/>
                <w:sz w:val="20"/>
                <w:szCs w:val="24"/>
              </w:rPr>
              <w:t xml:space="preserve"> identified</w:t>
            </w:r>
            <w:r w:rsidR="008C4B5B" w:rsidRPr="00280410">
              <w:rPr>
                <w:rFonts w:cstheme="minorHAnsi"/>
                <w:b/>
                <w:sz w:val="20"/>
                <w:szCs w:val="24"/>
              </w:rPr>
              <w:t>.</w:t>
            </w:r>
            <w:r w:rsidR="0035143B">
              <w:rPr>
                <w:rFonts w:cstheme="minorHAnsi"/>
                <w:b/>
                <w:sz w:val="20"/>
                <w:szCs w:val="24"/>
              </w:rPr>
              <w:t xml:space="preserve"> </w:t>
            </w:r>
            <w:r w:rsidR="0035143B">
              <w:rPr>
                <w:i/>
                <w:sz w:val="20"/>
              </w:rPr>
              <w:t>I</w:t>
            </w:r>
            <w:r w:rsidR="0035143B" w:rsidRPr="00DE32F5">
              <w:rPr>
                <w:i/>
                <w:sz w:val="20"/>
              </w:rPr>
              <w:t>f the species is listed as an invasive alien species of Union concern</w:t>
            </w:r>
            <w:r w:rsidR="0035143B">
              <w:rPr>
                <w:i/>
                <w:sz w:val="20"/>
              </w:rPr>
              <w:t>, this table is not needed, as the measure applies anyway.</w:t>
            </w:r>
          </w:p>
        </w:tc>
      </w:tr>
      <w:tr w:rsidR="00E11061" w14:paraId="423C8187" w14:textId="39D264E1" w:rsidTr="002E17F6">
        <w:trPr>
          <w:trHeight w:val="517"/>
        </w:trPr>
        <w:tc>
          <w:tcPr>
            <w:tcW w:w="3295" w:type="dxa"/>
            <w:tcBorders>
              <w:bottom w:val="single" w:sz="4" w:space="0" w:color="auto"/>
            </w:tcBorders>
            <w:shd w:val="clear" w:color="auto" w:fill="DBE5F1" w:themeFill="accent1" w:themeFillTint="33"/>
          </w:tcPr>
          <w:p w14:paraId="6A418177" w14:textId="6F197875" w:rsidR="00E11061" w:rsidRDefault="0039672E" w:rsidP="002B2F55">
            <w:pPr>
              <w:pStyle w:val="NoSpacing"/>
              <w:rPr>
                <w:b/>
              </w:rPr>
            </w:pPr>
            <w:r>
              <w:rPr>
                <w:b/>
              </w:rPr>
              <w:t>M</w:t>
            </w:r>
            <w:r w:rsidR="00E11061">
              <w:rPr>
                <w:b/>
              </w:rPr>
              <w:t>easure</w:t>
            </w:r>
            <w:r>
              <w:rPr>
                <w:b/>
              </w:rPr>
              <w:t xml:space="preserve"> description</w:t>
            </w:r>
          </w:p>
          <w:p w14:paraId="3F2F1CCF" w14:textId="5876CD5B" w:rsidR="00E11061" w:rsidRDefault="0039672E" w:rsidP="0039672E">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w:t>
            </w:r>
            <w:r w:rsidR="007C654A">
              <w:rPr>
                <w:rFonts w:cstheme="minorHAnsi"/>
                <w:sz w:val="20"/>
                <w:szCs w:val="20"/>
              </w:rPr>
              <w:t>, and identify its objective</w:t>
            </w:r>
          </w:p>
          <w:p w14:paraId="1A21D07B" w14:textId="2BF57F7E" w:rsidR="0039672E" w:rsidRPr="002B6463" w:rsidRDefault="0039672E" w:rsidP="0039672E">
            <w:pPr>
              <w:pStyle w:val="NoSpacing"/>
              <w:rPr>
                <w:b/>
                <w:sz w:val="28"/>
              </w:rPr>
            </w:pPr>
          </w:p>
        </w:tc>
        <w:tc>
          <w:tcPr>
            <w:tcW w:w="10653" w:type="dxa"/>
            <w:tcBorders>
              <w:bottom w:val="single" w:sz="4" w:space="0" w:color="auto"/>
            </w:tcBorders>
          </w:tcPr>
          <w:p w14:paraId="443EEEFA" w14:textId="6F8CD2B9" w:rsidR="003F0B6C" w:rsidRPr="00DE32F5" w:rsidRDefault="00DD2E1F" w:rsidP="003F0B6C">
            <w:pPr>
              <w:rPr>
                <w:i/>
                <w:sz w:val="20"/>
              </w:rPr>
            </w:pPr>
            <w:r>
              <w:rPr>
                <w:i/>
                <w:sz w:val="20"/>
              </w:rPr>
              <w:t>As</w:t>
            </w:r>
            <w:r w:rsidR="003F0B6C" w:rsidRPr="00DE32F5">
              <w:rPr>
                <w:i/>
                <w:sz w:val="20"/>
              </w:rPr>
              <w:t xml:space="preserve"> the species is listed as an invasive alien species of Union concern, the following measures will automatically apply, in accordance with Article </w:t>
            </w:r>
            <w:r>
              <w:rPr>
                <w:i/>
                <w:sz w:val="20"/>
              </w:rPr>
              <w:t>7</w:t>
            </w:r>
            <w:r w:rsidR="003F0B6C" w:rsidRPr="00DE32F5">
              <w:rPr>
                <w:i/>
                <w:sz w:val="20"/>
              </w:rPr>
              <w:t xml:space="preserve"> of the EU IAS Regulation 1143/2014:</w:t>
            </w:r>
          </w:p>
          <w:p w14:paraId="057531BA" w14:textId="0F4F2B02" w:rsidR="003F0B6C" w:rsidRPr="00DE32F5" w:rsidRDefault="003F0B6C" w:rsidP="003F0B6C">
            <w:pPr>
              <w:rPr>
                <w:i/>
                <w:sz w:val="20"/>
              </w:rPr>
            </w:pPr>
            <w:r w:rsidRPr="00DE32F5">
              <w:rPr>
                <w:i/>
                <w:sz w:val="20"/>
              </w:rPr>
              <w:t xml:space="preserve">Invasive alien species of Union concern shall not be intentionally: </w:t>
            </w:r>
          </w:p>
          <w:p w14:paraId="7C015481" w14:textId="77777777" w:rsidR="003F0B6C" w:rsidRPr="00DE32F5" w:rsidRDefault="003F0B6C" w:rsidP="003F0B6C">
            <w:pPr>
              <w:rPr>
                <w:i/>
                <w:sz w:val="20"/>
              </w:rPr>
            </w:pPr>
            <w:r w:rsidRPr="00DE32F5">
              <w:rPr>
                <w:i/>
                <w:sz w:val="20"/>
              </w:rPr>
              <w:t xml:space="preserve">(a) brought into the territory of the Union, including transit under customs supervision; </w:t>
            </w:r>
          </w:p>
          <w:p w14:paraId="5A13D1F2" w14:textId="77777777" w:rsidR="003F0B6C" w:rsidRPr="00DE32F5" w:rsidRDefault="003F0B6C" w:rsidP="003F0B6C">
            <w:pPr>
              <w:rPr>
                <w:i/>
                <w:sz w:val="20"/>
              </w:rPr>
            </w:pPr>
            <w:r w:rsidRPr="00DE32F5">
              <w:rPr>
                <w:i/>
                <w:sz w:val="20"/>
              </w:rPr>
              <w:t xml:space="preserve">(b) kept, including in contained holding; </w:t>
            </w:r>
          </w:p>
          <w:p w14:paraId="456A1F22" w14:textId="77777777" w:rsidR="003F0B6C" w:rsidRPr="00DE32F5" w:rsidRDefault="003F0B6C" w:rsidP="003F0B6C">
            <w:pPr>
              <w:rPr>
                <w:i/>
                <w:sz w:val="20"/>
              </w:rPr>
            </w:pPr>
            <w:r w:rsidRPr="00DE32F5">
              <w:rPr>
                <w:i/>
                <w:sz w:val="20"/>
              </w:rPr>
              <w:t xml:space="preserve">(c) bred, including in contained holding; </w:t>
            </w:r>
          </w:p>
          <w:p w14:paraId="13393C9D" w14:textId="77777777" w:rsidR="003F0B6C" w:rsidRPr="00DE32F5" w:rsidRDefault="003F0B6C" w:rsidP="003F0B6C">
            <w:pPr>
              <w:rPr>
                <w:i/>
                <w:sz w:val="20"/>
              </w:rPr>
            </w:pPr>
            <w:r w:rsidRPr="00DE32F5">
              <w:rPr>
                <w:i/>
                <w:sz w:val="20"/>
              </w:rPr>
              <w:t xml:space="preserve">(d) transported to, from or within the Union, except for the transportation of species to facilities in the context of eradication; </w:t>
            </w:r>
          </w:p>
          <w:p w14:paraId="15D6FDAC" w14:textId="77777777" w:rsidR="003F0B6C" w:rsidRPr="00DE32F5" w:rsidRDefault="003F0B6C" w:rsidP="003F0B6C">
            <w:pPr>
              <w:rPr>
                <w:i/>
                <w:sz w:val="20"/>
              </w:rPr>
            </w:pPr>
            <w:r w:rsidRPr="00DE32F5">
              <w:rPr>
                <w:i/>
                <w:sz w:val="20"/>
              </w:rPr>
              <w:t xml:space="preserve">(e) placed on the market; </w:t>
            </w:r>
          </w:p>
          <w:p w14:paraId="73CE7085" w14:textId="77777777" w:rsidR="003F0B6C" w:rsidRPr="00DE32F5" w:rsidRDefault="003F0B6C" w:rsidP="003F0B6C">
            <w:pPr>
              <w:rPr>
                <w:i/>
                <w:sz w:val="20"/>
              </w:rPr>
            </w:pPr>
            <w:r w:rsidRPr="00DE32F5">
              <w:rPr>
                <w:i/>
                <w:sz w:val="20"/>
              </w:rPr>
              <w:t xml:space="preserve">(f) used or exchanged; </w:t>
            </w:r>
          </w:p>
          <w:p w14:paraId="51BF91A1" w14:textId="77777777" w:rsidR="003F0B6C" w:rsidRPr="00DE32F5" w:rsidRDefault="003F0B6C" w:rsidP="003F0B6C">
            <w:pPr>
              <w:rPr>
                <w:i/>
                <w:sz w:val="20"/>
              </w:rPr>
            </w:pPr>
            <w:r w:rsidRPr="00DE32F5">
              <w:rPr>
                <w:i/>
                <w:sz w:val="20"/>
              </w:rPr>
              <w:t xml:space="preserve">(g) permitted to reproduce, grown or cultivated, including in contained holding; or </w:t>
            </w:r>
          </w:p>
          <w:p w14:paraId="4C9FCAB2" w14:textId="77777777" w:rsidR="00E11061" w:rsidRPr="00DE32F5" w:rsidRDefault="003F0B6C" w:rsidP="003F0B6C">
            <w:pPr>
              <w:rPr>
                <w:i/>
                <w:sz w:val="20"/>
              </w:rPr>
            </w:pPr>
            <w:r w:rsidRPr="00DE32F5">
              <w:rPr>
                <w:i/>
                <w:sz w:val="20"/>
              </w:rPr>
              <w:t>(h) released into the environment.</w:t>
            </w:r>
          </w:p>
          <w:p w14:paraId="292FF5C4" w14:textId="77777777" w:rsidR="003F0B6C" w:rsidRPr="00DE32F5" w:rsidRDefault="003F0B6C" w:rsidP="003F0B6C">
            <w:pPr>
              <w:rPr>
                <w:i/>
                <w:sz w:val="20"/>
              </w:rPr>
            </w:pPr>
          </w:p>
          <w:p w14:paraId="153A7CFF" w14:textId="77777777" w:rsidR="003F0B6C" w:rsidRDefault="003F0B6C" w:rsidP="003F0B6C">
            <w:pPr>
              <w:rPr>
                <w:i/>
                <w:sz w:val="20"/>
              </w:rPr>
            </w:pPr>
            <w:r w:rsidRPr="00DE32F5">
              <w:rPr>
                <w:i/>
                <w:sz w:val="20"/>
              </w:rPr>
              <w:t>Also note that, in accordance with Article 15(1) – As of 2 January 2016, Member States should have in place fully functioning structures to carry out the official controls necessary to prevent the intentional introduction into the Union of invasive alien species of Union concern. Those official controls shall apply to the categories of goods falling within the Combined Nomenclature codes to which a reference is made in the Union list, pursuant to Article 4(5).</w:t>
            </w:r>
            <w:r w:rsidR="000C36C6" w:rsidRPr="00DE32F5">
              <w:rPr>
                <w:i/>
                <w:sz w:val="20"/>
              </w:rPr>
              <w:t>]</w:t>
            </w:r>
          </w:p>
          <w:p w14:paraId="7FD9ECF8" w14:textId="77777777" w:rsidR="00346840" w:rsidRDefault="00346840" w:rsidP="003F0B6C">
            <w:pPr>
              <w:rPr>
                <w:i/>
                <w:sz w:val="20"/>
              </w:rPr>
            </w:pPr>
          </w:p>
          <w:p w14:paraId="6664D7FC" w14:textId="087CFA7F" w:rsidR="00346840" w:rsidRPr="003F77F5" w:rsidRDefault="00DD2E1F" w:rsidP="003F0B6C">
            <w:pPr>
              <w:rPr>
                <w:b/>
                <w:i/>
                <w:sz w:val="20"/>
              </w:rPr>
            </w:pPr>
            <w:r w:rsidRPr="003F77F5">
              <w:rPr>
                <w:b/>
                <w:i/>
                <w:sz w:val="20"/>
              </w:rPr>
              <w:t>Therefore</w:t>
            </w:r>
            <w:r w:rsidR="0049739F" w:rsidRPr="003F77F5">
              <w:rPr>
                <w:b/>
                <w:i/>
                <w:sz w:val="20"/>
              </w:rPr>
              <w:t xml:space="preserve"> measures for the prevention of intentional introductions </w:t>
            </w:r>
            <w:r w:rsidR="00CE7784" w:rsidRPr="003F77F5">
              <w:rPr>
                <w:b/>
                <w:i/>
                <w:sz w:val="20"/>
              </w:rPr>
              <w:t>d</w:t>
            </w:r>
            <w:r w:rsidR="0049739F" w:rsidRPr="003F77F5">
              <w:rPr>
                <w:b/>
                <w:i/>
                <w:sz w:val="20"/>
              </w:rPr>
              <w:t>o not need to be discussed further in this technical note.</w:t>
            </w:r>
          </w:p>
          <w:p w14:paraId="5774ECEB" w14:textId="7566A21D" w:rsidR="00346840" w:rsidRDefault="00346840" w:rsidP="003F0B6C">
            <w:pPr>
              <w:rPr>
                <w:b/>
              </w:rPr>
            </w:pPr>
          </w:p>
        </w:tc>
      </w:tr>
    </w:tbl>
    <w:p w14:paraId="7B32B0B9" w14:textId="77777777" w:rsidR="00346840" w:rsidRDefault="00346840"/>
    <w:p w14:paraId="24881F4D" w14:textId="5F2C9A90" w:rsidR="00FD0D4D" w:rsidRDefault="00FD0D4D">
      <w:r>
        <w:br w:type="page"/>
      </w:r>
    </w:p>
    <w:tbl>
      <w:tblPr>
        <w:tblStyle w:val="TableGrid"/>
        <w:tblW w:w="0" w:type="auto"/>
        <w:tblLook w:val="04A0" w:firstRow="1" w:lastRow="0" w:firstColumn="1" w:lastColumn="0" w:noHBand="0" w:noVBand="1"/>
      </w:tblPr>
      <w:tblGrid>
        <w:gridCol w:w="3295"/>
        <w:gridCol w:w="10653"/>
      </w:tblGrid>
      <w:tr w:rsidR="00346840" w14:paraId="41A63379" w14:textId="77777777" w:rsidTr="00292074">
        <w:tc>
          <w:tcPr>
            <w:tcW w:w="13948" w:type="dxa"/>
            <w:gridSpan w:val="2"/>
            <w:shd w:val="clear" w:color="auto" w:fill="4F81BD" w:themeFill="accent1"/>
          </w:tcPr>
          <w:p w14:paraId="4806A2F4" w14:textId="02419C4D" w:rsidR="00346840" w:rsidRPr="00346840" w:rsidRDefault="00346840" w:rsidP="00A2483D">
            <w:pPr>
              <w:pStyle w:val="NoSpacing"/>
              <w:rPr>
                <w:rFonts w:cstheme="minorHAnsi"/>
                <w:b/>
                <w:sz w:val="20"/>
                <w:szCs w:val="24"/>
              </w:rPr>
            </w:pPr>
            <w:bookmarkStart w:id="0" w:name="_Hlk19203400"/>
            <w:r>
              <w:rPr>
                <w:rFonts w:eastAsia="Times New Roman"/>
                <w:b/>
                <w:sz w:val="28"/>
              </w:rPr>
              <w:lastRenderedPageBreak/>
              <w:t xml:space="preserve">Prevention of </w:t>
            </w:r>
            <w:r w:rsidRPr="00346840">
              <w:rPr>
                <w:rFonts w:eastAsia="Times New Roman"/>
                <w:b/>
                <w:sz w:val="28"/>
                <w:u w:val="single"/>
              </w:rPr>
              <w:t>un-intentional</w:t>
            </w:r>
            <w:r>
              <w:rPr>
                <w:rFonts w:eastAsia="Times New Roman"/>
                <w:b/>
                <w:sz w:val="28"/>
              </w:rPr>
              <w:t xml:space="preserve"> introductions</w:t>
            </w:r>
            <w:r w:rsidR="0035143B">
              <w:rPr>
                <w:rFonts w:eastAsia="Times New Roman"/>
                <w:b/>
                <w:sz w:val="28"/>
              </w:rPr>
              <w:t xml:space="preserve"> and spread</w:t>
            </w:r>
            <w:r>
              <w:rPr>
                <w:rFonts w:eastAsia="Times New Roman"/>
                <w:b/>
                <w:sz w:val="28"/>
              </w:rPr>
              <w:t xml:space="preserve"> </w:t>
            </w:r>
            <w:r>
              <w:rPr>
                <w:rFonts w:cstheme="minorHAnsi"/>
                <w:sz w:val="20"/>
                <w:szCs w:val="20"/>
              </w:rPr>
              <w:t>– measures for preventing the species being introduced un-intentionally (cf. Article 13 of the IAS Regulation</w:t>
            </w:r>
            <w:r w:rsidRPr="00280410">
              <w:rPr>
                <w:rFonts w:cstheme="minorHAnsi"/>
                <w:sz w:val="20"/>
                <w:szCs w:val="20"/>
              </w:rPr>
              <w:t>)</w:t>
            </w:r>
            <w:r>
              <w:rPr>
                <w:rFonts w:cstheme="minorHAnsi"/>
                <w:sz w:val="20"/>
                <w:szCs w:val="20"/>
              </w:rPr>
              <w:t>.</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 xml:space="preserve">is repeated for each of the </w:t>
            </w:r>
            <w:r w:rsidRPr="00280410">
              <w:rPr>
                <w:rFonts w:cstheme="minorHAnsi"/>
                <w:b/>
                <w:sz w:val="20"/>
                <w:szCs w:val="24"/>
              </w:rPr>
              <w:t>prevention measures</w:t>
            </w:r>
            <w:r>
              <w:rPr>
                <w:rFonts w:cstheme="minorHAnsi"/>
                <w:b/>
                <w:sz w:val="20"/>
                <w:szCs w:val="24"/>
              </w:rPr>
              <w:t xml:space="preserve"> identified</w:t>
            </w:r>
            <w:r w:rsidRPr="00280410">
              <w:rPr>
                <w:rFonts w:cstheme="minorHAnsi"/>
                <w:b/>
                <w:sz w:val="20"/>
                <w:szCs w:val="24"/>
              </w:rPr>
              <w:t>.</w:t>
            </w:r>
          </w:p>
        </w:tc>
      </w:tr>
      <w:tr w:rsidR="00346840" w14:paraId="6058A46A" w14:textId="77777777" w:rsidTr="00A2483D">
        <w:trPr>
          <w:trHeight w:val="517"/>
        </w:trPr>
        <w:tc>
          <w:tcPr>
            <w:tcW w:w="3295" w:type="dxa"/>
            <w:tcBorders>
              <w:bottom w:val="single" w:sz="4" w:space="0" w:color="auto"/>
            </w:tcBorders>
            <w:shd w:val="clear" w:color="auto" w:fill="DBE5F1" w:themeFill="accent1" w:themeFillTint="33"/>
          </w:tcPr>
          <w:p w14:paraId="201171B7" w14:textId="77777777" w:rsidR="00346840" w:rsidRDefault="00346840" w:rsidP="00A2483D">
            <w:pPr>
              <w:pStyle w:val="NoSpacing"/>
              <w:rPr>
                <w:b/>
              </w:rPr>
            </w:pPr>
            <w:r>
              <w:rPr>
                <w:b/>
              </w:rPr>
              <w:t>Measure description</w:t>
            </w:r>
          </w:p>
          <w:p w14:paraId="58443B44" w14:textId="77777777" w:rsidR="00346840" w:rsidRDefault="00346840" w:rsidP="00A2483D">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p w14:paraId="4CA28BF9" w14:textId="77777777" w:rsidR="00346840" w:rsidRPr="002B6463" w:rsidRDefault="00346840" w:rsidP="00A2483D">
            <w:pPr>
              <w:pStyle w:val="NoSpacing"/>
              <w:rPr>
                <w:b/>
                <w:sz w:val="28"/>
              </w:rPr>
            </w:pPr>
          </w:p>
        </w:tc>
        <w:tc>
          <w:tcPr>
            <w:tcW w:w="10653" w:type="dxa"/>
            <w:tcBorders>
              <w:bottom w:val="single" w:sz="4" w:space="0" w:color="auto"/>
            </w:tcBorders>
          </w:tcPr>
          <w:p w14:paraId="5BFBCDE4" w14:textId="5EF5B386" w:rsidR="00346840" w:rsidRPr="005A0032" w:rsidRDefault="00D46729" w:rsidP="00A2483D">
            <w:pPr>
              <w:rPr>
                <w:b/>
              </w:rPr>
            </w:pPr>
            <w:r w:rsidRPr="005A0032">
              <w:rPr>
                <w:b/>
              </w:rPr>
              <w:t>B</w:t>
            </w:r>
            <w:r w:rsidR="001046F2" w:rsidRPr="005A0032">
              <w:rPr>
                <w:b/>
              </w:rPr>
              <w:t>allast waters</w:t>
            </w:r>
            <w:r w:rsidRPr="005A0032">
              <w:rPr>
                <w:b/>
              </w:rPr>
              <w:t xml:space="preserve"> management</w:t>
            </w:r>
            <w:r w:rsidR="00003123" w:rsidRPr="005A0032">
              <w:rPr>
                <w:b/>
              </w:rPr>
              <w:t xml:space="preserve"> (BWM)</w:t>
            </w:r>
          </w:p>
          <w:p w14:paraId="40524C14" w14:textId="4AC81FBC" w:rsidR="00560D33" w:rsidRPr="005A0032" w:rsidRDefault="00560D33" w:rsidP="00A2483D"/>
          <w:p w14:paraId="18ACF73A" w14:textId="0109C5A4" w:rsidR="005B058F" w:rsidRDefault="00560D33" w:rsidP="00411B55">
            <w:r w:rsidRPr="005A0032">
              <w:t xml:space="preserve">The species </w:t>
            </w:r>
            <w:r w:rsidR="00B447D1">
              <w:t xml:space="preserve">is </w:t>
            </w:r>
            <w:r w:rsidRPr="005A0032">
              <w:t xml:space="preserve">commonly </w:t>
            </w:r>
            <w:r w:rsidR="00B447D1">
              <w:t>introduced into new areas</w:t>
            </w:r>
            <w:r w:rsidR="00B447D1" w:rsidRPr="005A0032">
              <w:t xml:space="preserve"> </w:t>
            </w:r>
            <w:r w:rsidR="003E346B" w:rsidRPr="005A0032">
              <w:t xml:space="preserve">transported in ballast waters. </w:t>
            </w:r>
            <w:r w:rsidR="004E7443" w:rsidRPr="005A0032">
              <w:t>BWM is not species-specific</w:t>
            </w:r>
            <w:r w:rsidR="00B447D1">
              <w:t>,</w:t>
            </w:r>
            <w:r w:rsidR="004E7443" w:rsidRPr="005A0032">
              <w:t xml:space="preserve"> thus the reported info</w:t>
            </w:r>
            <w:r w:rsidR="00B447D1">
              <w:t>rmation</w:t>
            </w:r>
            <w:r w:rsidR="004E7443" w:rsidRPr="005A0032">
              <w:t xml:space="preserve"> for this measure refers to all </w:t>
            </w:r>
            <w:r w:rsidR="00B447D1">
              <w:t xml:space="preserve">aquatic </w:t>
            </w:r>
            <w:r w:rsidR="004E7443" w:rsidRPr="005A0032">
              <w:t xml:space="preserve">taxa </w:t>
            </w:r>
            <w:r w:rsidR="00B447D1">
              <w:t>possibly</w:t>
            </w:r>
            <w:r w:rsidR="00B447D1" w:rsidRPr="005A0032">
              <w:t xml:space="preserve"> </w:t>
            </w:r>
            <w:r w:rsidR="004E7443" w:rsidRPr="005A0032">
              <w:t xml:space="preserve">transported by </w:t>
            </w:r>
            <w:r w:rsidR="00544D6B" w:rsidRPr="005A0032">
              <w:t>ballast waters</w:t>
            </w:r>
            <w:r w:rsidR="004E7443" w:rsidRPr="005A0032">
              <w:t xml:space="preserve">. </w:t>
            </w:r>
          </w:p>
          <w:p w14:paraId="7A7647A2" w14:textId="65848269" w:rsidR="00560D33" w:rsidRDefault="00284F7F" w:rsidP="00411B55">
            <w:r w:rsidRPr="005A0032">
              <w:t xml:space="preserve">Before 2017, in the EU, different BWM approaches </w:t>
            </w:r>
            <w:r w:rsidR="005B058F">
              <w:t>were</w:t>
            </w:r>
            <w:r w:rsidRPr="005A0032">
              <w:t xml:space="preserve"> developed at regional levels and </w:t>
            </w:r>
            <w:r w:rsidR="00544D6B" w:rsidRPr="005A0032">
              <w:t xml:space="preserve">were </w:t>
            </w:r>
            <w:r w:rsidRPr="005A0032">
              <w:t>of voluntary nature (</w:t>
            </w:r>
            <w:r w:rsidR="00411B55" w:rsidRPr="005A0032">
              <w:t xml:space="preserve">such as </w:t>
            </w:r>
            <w:r w:rsidR="005B058F">
              <w:t xml:space="preserve">the </w:t>
            </w:r>
            <w:r w:rsidRPr="005A0032">
              <w:t xml:space="preserve">HELCOM / OSPAR / REMPEC BWM approaches). </w:t>
            </w:r>
            <w:r w:rsidR="003E346B" w:rsidRPr="005A0032">
              <w:t xml:space="preserve">The </w:t>
            </w:r>
            <w:r w:rsidR="00657D82" w:rsidRPr="005A0032">
              <w:t xml:space="preserve">Ballast Water </w:t>
            </w:r>
            <w:r w:rsidR="00BD1CD9" w:rsidRPr="005A0032">
              <w:t xml:space="preserve">Management </w:t>
            </w:r>
            <w:r w:rsidR="00657D82" w:rsidRPr="005A0032">
              <w:t xml:space="preserve">Convention </w:t>
            </w:r>
            <w:r w:rsidR="000E4653" w:rsidRPr="005A0032">
              <w:t xml:space="preserve">(BWMC) </w:t>
            </w:r>
            <w:r w:rsidR="00996E37" w:rsidRPr="005A0032">
              <w:t xml:space="preserve">was adopted in </w:t>
            </w:r>
            <w:r w:rsidR="004073D4" w:rsidRPr="005A0032">
              <w:t>2004</w:t>
            </w:r>
            <w:r w:rsidR="007900A0">
              <w:t>,</w:t>
            </w:r>
            <w:r w:rsidR="004073D4" w:rsidRPr="005A0032">
              <w:t xml:space="preserve"> but</w:t>
            </w:r>
            <w:r w:rsidR="00996E37" w:rsidRPr="005A0032">
              <w:t xml:space="preserve"> </w:t>
            </w:r>
            <w:r w:rsidR="00657D82" w:rsidRPr="005A0032">
              <w:t xml:space="preserve">entered into force </w:t>
            </w:r>
            <w:r w:rsidR="00996E37" w:rsidRPr="005A0032">
              <w:t xml:space="preserve">only </w:t>
            </w:r>
            <w:r w:rsidR="0039251D" w:rsidRPr="005A0032">
              <w:t xml:space="preserve">in </w:t>
            </w:r>
            <w:r w:rsidR="00254928" w:rsidRPr="005A0032">
              <w:t>September</w:t>
            </w:r>
            <w:r w:rsidR="0039251D" w:rsidRPr="005A0032">
              <w:t xml:space="preserve"> </w:t>
            </w:r>
            <w:r w:rsidR="00BB408A" w:rsidRPr="007900A0">
              <w:t>8</w:t>
            </w:r>
            <w:r w:rsidR="00BB408A" w:rsidRPr="007900A0">
              <w:rPr>
                <w:vertAlign w:val="superscript"/>
              </w:rPr>
              <w:t>th</w:t>
            </w:r>
            <w:r w:rsidR="007900A0">
              <w:t xml:space="preserve"> </w:t>
            </w:r>
            <w:r w:rsidR="007900A0" w:rsidRPr="007900A0">
              <w:t>2017</w:t>
            </w:r>
            <w:r w:rsidR="002B460F" w:rsidRPr="005A0032">
              <w:t>.</w:t>
            </w:r>
            <w:r w:rsidR="00411B55" w:rsidRPr="005A0032">
              <w:t xml:space="preserve"> From 2017, </w:t>
            </w:r>
            <w:r w:rsidR="00A73246">
              <w:t xml:space="preserve">the </w:t>
            </w:r>
            <w:r w:rsidR="00411B55" w:rsidRPr="005A0032">
              <w:t xml:space="preserve">BWMC applies to signatory countries, and ballast waters should be exchanged in open seas (BWE) or treated (BWT) with mechanical, physical, chemical </w:t>
            </w:r>
            <w:r w:rsidR="004C15FA">
              <w:t>or</w:t>
            </w:r>
            <w:r w:rsidR="004C15FA" w:rsidRPr="005A0032">
              <w:t xml:space="preserve"> </w:t>
            </w:r>
            <w:r w:rsidR="00411B55" w:rsidRPr="005A0032">
              <w:t xml:space="preserve">biological processes </w:t>
            </w:r>
            <w:r w:rsidR="00A73246">
              <w:t xml:space="preserve">- </w:t>
            </w:r>
            <w:r w:rsidR="00411B55" w:rsidRPr="005A0032">
              <w:t>such as filtration systems, chemical disinfection (oxidi</w:t>
            </w:r>
            <w:r w:rsidR="00A73246">
              <w:t>s</w:t>
            </w:r>
            <w:r w:rsidR="00411B55" w:rsidRPr="005A0032">
              <w:t>ing and non-oxidi</w:t>
            </w:r>
            <w:r w:rsidR="00A73246">
              <w:t>s</w:t>
            </w:r>
            <w:r w:rsidR="00411B55" w:rsidRPr="005A0032">
              <w:t>ing biocides), ultra-violet treatment, deoxygenation treatment, heat (thermal treatment), acoustic (cavitation treatment), electric pulse/pulse plasma systems</w:t>
            </w:r>
            <w:r w:rsidR="00A73246">
              <w:t xml:space="preserve"> and</w:t>
            </w:r>
            <w:r w:rsidR="00411B55" w:rsidRPr="005A0032">
              <w:t xml:space="preserve"> magnetic field treatment</w:t>
            </w:r>
            <w:r w:rsidR="00A73246">
              <w:t>,</w:t>
            </w:r>
            <w:r w:rsidR="00411B55" w:rsidRPr="005A0032">
              <w:t xml:space="preserve"> either singularly or in combination – to remove, render harmless, or avoid the uptake or discharge of harmful aquatic organisms and pathogens within ballast water and sediments (</w:t>
            </w:r>
            <w:proofErr w:type="spellStart"/>
            <w:r w:rsidR="0028060F" w:rsidRPr="005A0032">
              <w:t>Tsolaki</w:t>
            </w:r>
            <w:proofErr w:type="spellEnd"/>
            <w:r w:rsidR="0028060F" w:rsidRPr="005A0032">
              <w:t xml:space="preserve"> </w:t>
            </w:r>
            <w:r w:rsidR="00A55224" w:rsidRPr="005A0032">
              <w:t>&amp;</w:t>
            </w:r>
            <w:r w:rsidR="0028060F" w:rsidRPr="005A0032">
              <w:t xml:space="preserve"> </w:t>
            </w:r>
            <w:proofErr w:type="spellStart"/>
            <w:r w:rsidR="0028060F" w:rsidRPr="005A0032">
              <w:t>Diamadopulos</w:t>
            </w:r>
            <w:proofErr w:type="spellEnd"/>
            <w:r w:rsidR="0028060F" w:rsidRPr="005A0032">
              <w:t xml:space="preserve">, 2010; </w:t>
            </w:r>
            <w:r w:rsidR="00411B55" w:rsidRPr="005A0032">
              <w:t xml:space="preserve">IMO, 2017). </w:t>
            </w:r>
            <w:r w:rsidR="002B664E" w:rsidRPr="005A0032">
              <w:t>Modern BWT systems usually employ a two-step treatment approach (</w:t>
            </w:r>
            <w:proofErr w:type="spellStart"/>
            <w:r w:rsidR="00E219CF" w:rsidRPr="005A0032">
              <w:t>Stehouwer</w:t>
            </w:r>
            <w:proofErr w:type="spellEnd"/>
            <w:r w:rsidR="00E219CF" w:rsidRPr="005A0032">
              <w:t xml:space="preserve"> et al., 2015). </w:t>
            </w:r>
            <w:r w:rsidR="00411B55" w:rsidRPr="005A0032">
              <w:t>The BWM Convention introduces two different regimes with sequential implementation: Ballast Water Exchange Standard (Regulation D1)</w:t>
            </w:r>
            <w:r w:rsidR="004C15FA">
              <w:t>,</w:t>
            </w:r>
            <w:r w:rsidR="00411B55" w:rsidRPr="005A0032">
              <w:t xml:space="preserve"> requiring ships to exchange a minimum of 95% ballast water volume; Ballast Water Performance Standard (Regulation D2)</w:t>
            </w:r>
            <w:r w:rsidR="004C15FA">
              <w:t>,</w:t>
            </w:r>
            <w:r w:rsidR="00411B55" w:rsidRPr="005A0032">
              <w:t xml:space="preserve"> which requires that ballast water discharged has </w:t>
            </w:r>
            <w:r w:rsidR="004C15FA">
              <w:t>a</w:t>
            </w:r>
            <w:r w:rsidR="004C15FA" w:rsidRPr="005A0032">
              <w:t xml:space="preserve"> </w:t>
            </w:r>
            <w:r w:rsidR="00411B55" w:rsidRPr="005A0032">
              <w:t>number of viable organisms below specified limits.</w:t>
            </w:r>
            <w:r w:rsidR="002B460F" w:rsidRPr="005A0032">
              <w:t xml:space="preserve"> </w:t>
            </w:r>
            <w:r w:rsidR="004C15FA">
              <w:t>D</w:t>
            </w:r>
            <w:r w:rsidR="002A18A0" w:rsidRPr="005A0032">
              <w:t>etails and the</w:t>
            </w:r>
            <w:r w:rsidR="004B1230" w:rsidRPr="005A0032">
              <w:t xml:space="preserve"> </w:t>
            </w:r>
            <w:r w:rsidR="002A18A0" w:rsidRPr="005A0032">
              <w:t xml:space="preserve">list </w:t>
            </w:r>
            <w:r w:rsidR="00CA61FC" w:rsidRPr="005A0032">
              <w:t>of approved and certified ballast water management systems</w:t>
            </w:r>
            <w:r w:rsidR="004C15FA">
              <w:t xml:space="preserve"> can be found online.</w:t>
            </w:r>
            <w:r w:rsidR="00E96C5B">
              <w:rPr>
                <w:rStyle w:val="FootnoteReference"/>
              </w:rPr>
              <w:footnoteReference w:id="1"/>
            </w:r>
          </w:p>
          <w:p w14:paraId="4E72F41E" w14:textId="77777777" w:rsidR="00B3460B" w:rsidRPr="005A0032" w:rsidRDefault="00B3460B" w:rsidP="00411B55"/>
          <w:p w14:paraId="56F60535" w14:textId="2806594D" w:rsidR="00DD299D" w:rsidRPr="005A0032" w:rsidRDefault="00735ED1" w:rsidP="00735ED1">
            <w:r w:rsidRPr="005A0032">
              <w:t xml:space="preserve">Another source of introduction for the species could be through the scrapping of old ships. This has been suggested as </w:t>
            </w:r>
            <w:r w:rsidR="000A2BFC">
              <w:t xml:space="preserve">the </w:t>
            </w:r>
            <w:r w:rsidRPr="005A0032">
              <w:t xml:space="preserve">source of mitten crab </w:t>
            </w:r>
            <w:r w:rsidR="000A2BFC">
              <w:t xml:space="preserve">introduction </w:t>
            </w:r>
            <w:r w:rsidRPr="005A0032">
              <w:t xml:space="preserve">in the </w:t>
            </w:r>
            <w:proofErr w:type="spellStart"/>
            <w:r w:rsidRPr="005A0032">
              <w:t>Dudd</w:t>
            </w:r>
            <w:r w:rsidR="001F141E">
              <w:t>o</w:t>
            </w:r>
            <w:r w:rsidRPr="005A0032">
              <w:t>n</w:t>
            </w:r>
            <w:proofErr w:type="spellEnd"/>
            <w:r w:rsidRPr="005A0032">
              <w:t xml:space="preserve"> Estuary in </w:t>
            </w:r>
            <w:r w:rsidR="001F141E">
              <w:t xml:space="preserve">the </w:t>
            </w:r>
            <w:r w:rsidRPr="005A0032">
              <w:t>UK (</w:t>
            </w:r>
            <w:bookmarkStart w:id="1" w:name="_Hlk7562904"/>
            <w:r w:rsidRPr="005A0032">
              <w:t>GBNN RA, 2011</w:t>
            </w:r>
            <w:bookmarkEnd w:id="1"/>
            <w:r w:rsidRPr="005A0032">
              <w:t>), thus safe disposal of ballast water while dismantling old ship</w:t>
            </w:r>
            <w:r w:rsidR="000A2BFC">
              <w:t>s</w:t>
            </w:r>
            <w:r w:rsidRPr="005A0032">
              <w:t xml:space="preserve"> could be an issue and requires </w:t>
            </w:r>
            <w:r w:rsidR="000A2BFC">
              <w:t xml:space="preserve">further </w:t>
            </w:r>
            <w:r w:rsidRPr="005A0032">
              <w:t>investigation.</w:t>
            </w:r>
          </w:p>
          <w:p w14:paraId="0C7785E7" w14:textId="730D0E99" w:rsidR="005A0032" w:rsidRPr="00735ED1" w:rsidRDefault="005A0032" w:rsidP="00735ED1">
            <w:pPr>
              <w:rPr>
                <w:sz w:val="20"/>
                <w:szCs w:val="20"/>
              </w:rPr>
            </w:pPr>
          </w:p>
        </w:tc>
      </w:tr>
      <w:tr w:rsidR="00346840" w14:paraId="4F1B86FB" w14:textId="77777777" w:rsidTr="00A2483D">
        <w:trPr>
          <w:trHeight w:val="517"/>
        </w:trPr>
        <w:tc>
          <w:tcPr>
            <w:tcW w:w="3295" w:type="dxa"/>
            <w:tcBorders>
              <w:bottom w:val="single" w:sz="4" w:space="0" w:color="auto"/>
            </w:tcBorders>
            <w:shd w:val="clear" w:color="auto" w:fill="DBE5F1" w:themeFill="accent1" w:themeFillTint="33"/>
          </w:tcPr>
          <w:p w14:paraId="43A86ADF" w14:textId="77777777" w:rsidR="00346840" w:rsidRDefault="00346840" w:rsidP="00A2483D">
            <w:pPr>
              <w:pStyle w:val="NoSpacing"/>
              <w:rPr>
                <w:b/>
              </w:rPr>
            </w:pPr>
            <w:r>
              <w:rPr>
                <w:b/>
              </w:rPr>
              <w:t>Scale of application</w:t>
            </w:r>
          </w:p>
          <w:p w14:paraId="6512C50C" w14:textId="613E2A32" w:rsidR="00346840" w:rsidRPr="00DE32F5" w:rsidRDefault="00346840" w:rsidP="00DF71D6">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tc>
        <w:tc>
          <w:tcPr>
            <w:tcW w:w="10653" w:type="dxa"/>
            <w:tcBorders>
              <w:bottom w:val="single" w:sz="4" w:space="0" w:color="auto"/>
            </w:tcBorders>
          </w:tcPr>
          <w:p w14:paraId="3D12214D" w14:textId="7977F1B7" w:rsidR="00EC5697" w:rsidRDefault="00BA577B" w:rsidP="00CA178C">
            <w:r>
              <w:t xml:space="preserve">As </w:t>
            </w:r>
            <w:r w:rsidR="00CD5A36" w:rsidRPr="005A0032">
              <w:t xml:space="preserve">EU countries </w:t>
            </w:r>
            <w:r w:rsidR="000E4653" w:rsidRPr="005A0032">
              <w:t>have ratified the B</w:t>
            </w:r>
            <w:r w:rsidR="000B204E" w:rsidRPr="005A0032">
              <w:t>WMC</w:t>
            </w:r>
            <w:r w:rsidR="005E44ED">
              <w:rPr>
                <w:rStyle w:val="FootnoteReference"/>
              </w:rPr>
              <w:footnoteReference w:id="2"/>
            </w:r>
            <w:r w:rsidR="00D30897" w:rsidRPr="005A0032">
              <w:t xml:space="preserve"> </w:t>
            </w:r>
            <w:r w:rsidR="000B204E" w:rsidRPr="005A0032">
              <w:t xml:space="preserve">, the scale </w:t>
            </w:r>
            <w:r w:rsidR="00115E85" w:rsidRPr="005A0032">
              <w:t xml:space="preserve">of application </w:t>
            </w:r>
            <w:r>
              <w:t xml:space="preserve">of this measure </w:t>
            </w:r>
            <w:r w:rsidR="00115E85" w:rsidRPr="005A0032">
              <w:t>should be</w:t>
            </w:r>
            <w:r w:rsidR="00DE738C">
              <w:t xml:space="preserve"> </w:t>
            </w:r>
            <w:r>
              <w:t xml:space="preserve">at a national level and, ultimately, at </w:t>
            </w:r>
            <w:proofErr w:type="gramStart"/>
            <w:r>
              <w:t>a</w:t>
            </w:r>
            <w:proofErr w:type="gramEnd"/>
            <w:r>
              <w:t xml:space="preserve"> EU level</w:t>
            </w:r>
            <w:r w:rsidR="00115E85" w:rsidRPr="005A0032">
              <w:t xml:space="preserve">. </w:t>
            </w:r>
            <w:r w:rsidR="006E443C" w:rsidRPr="005A0032">
              <w:t xml:space="preserve">However, the </w:t>
            </w:r>
            <w:r w:rsidR="00E649B3" w:rsidRPr="005A0032">
              <w:t>convention</w:t>
            </w:r>
            <w:r w:rsidR="00FF4F3E" w:rsidRPr="005A0032">
              <w:t xml:space="preserve"> </w:t>
            </w:r>
            <w:r w:rsidR="00FF4F3E">
              <w:t>has not been fully implemented yet</w:t>
            </w:r>
            <w:r w:rsidR="00E649B3" w:rsidRPr="005A0032">
              <w:t xml:space="preserve">. </w:t>
            </w:r>
            <w:r w:rsidR="005D0C33" w:rsidRPr="005A0032">
              <w:t>Moreover</w:t>
            </w:r>
            <w:r w:rsidR="002E7D70" w:rsidRPr="005A0032">
              <w:t>,</w:t>
            </w:r>
            <w:r w:rsidR="005D0C33" w:rsidRPr="005A0032">
              <w:t xml:space="preserve"> there are some limitations in its application: </w:t>
            </w:r>
            <w:r w:rsidR="00CA178C" w:rsidRPr="005A0032">
              <w:t>BWE shall be conducted at least 50 nautical miles from the nearest land and in waters at least 200 metres in depth</w:t>
            </w:r>
            <w:r w:rsidR="00FF4F3E">
              <w:t>,</w:t>
            </w:r>
            <w:r w:rsidR="00CA178C" w:rsidRPr="005A0032">
              <w:t xml:space="preserve"> conditions </w:t>
            </w:r>
            <w:r w:rsidR="00DE738C">
              <w:t>which</w:t>
            </w:r>
            <w:r w:rsidR="00DE738C" w:rsidRPr="005A0032">
              <w:t xml:space="preserve"> </w:t>
            </w:r>
            <w:r w:rsidR="00CA178C" w:rsidRPr="005A0032">
              <w:t>are not met</w:t>
            </w:r>
            <w:r w:rsidR="00FF4F3E">
              <w:t>,</w:t>
            </w:r>
            <w:r w:rsidR="00CA178C" w:rsidRPr="005A0032">
              <w:t xml:space="preserve"> for example</w:t>
            </w:r>
            <w:r w:rsidR="00FF4F3E">
              <w:t>,</w:t>
            </w:r>
            <w:r w:rsidR="00CA178C" w:rsidRPr="005A0032">
              <w:t xml:space="preserve"> for intra-European shipping, or domestic shipping of many countries</w:t>
            </w:r>
            <w:r w:rsidR="00FF4F3E">
              <w:t>;</w:t>
            </w:r>
            <w:r w:rsidR="00CA178C" w:rsidRPr="005A0032">
              <w:t xml:space="preserve"> otherwise</w:t>
            </w:r>
            <w:r w:rsidR="00FF4F3E">
              <w:t>,</w:t>
            </w:r>
            <w:r w:rsidR="00CA178C" w:rsidRPr="005A0032">
              <w:t xml:space="preserve"> BWT should be applied</w:t>
            </w:r>
            <w:r w:rsidR="00C833E6" w:rsidRPr="005A0032">
              <w:t xml:space="preserve"> (David </w:t>
            </w:r>
            <w:r w:rsidR="00A55224" w:rsidRPr="005A0032">
              <w:t>&amp;</w:t>
            </w:r>
            <w:r w:rsidR="00C833E6" w:rsidRPr="005A0032">
              <w:t xml:space="preserve"> </w:t>
            </w:r>
            <w:proofErr w:type="spellStart"/>
            <w:r w:rsidR="00C833E6" w:rsidRPr="005A0032">
              <w:t>Gollasch</w:t>
            </w:r>
            <w:proofErr w:type="spellEnd"/>
            <w:r w:rsidR="00C833E6" w:rsidRPr="005A0032">
              <w:t>, 2008)</w:t>
            </w:r>
            <w:r w:rsidR="00CA178C" w:rsidRPr="005A0032">
              <w:t xml:space="preserve">. </w:t>
            </w:r>
            <w:r w:rsidR="00A47C0D" w:rsidRPr="005A0032">
              <w:t xml:space="preserve">Treatments could be </w:t>
            </w:r>
            <w:r w:rsidR="004E7443" w:rsidRPr="005A0032">
              <w:t>shipboard,</w:t>
            </w:r>
            <w:r w:rsidR="00A47C0D" w:rsidRPr="005A0032">
              <w:t xml:space="preserve"> or port based. </w:t>
            </w:r>
          </w:p>
          <w:p w14:paraId="1C1E3D1F" w14:textId="5CD39BF0" w:rsidR="005A0032" w:rsidRPr="005A0032" w:rsidRDefault="005A0032" w:rsidP="00CA178C"/>
        </w:tc>
      </w:tr>
      <w:tr w:rsidR="00346840" w:rsidRPr="002B6463" w14:paraId="76168A72" w14:textId="77777777" w:rsidTr="00A2483D">
        <w:trPr>
          <w:trHeight w:val="2222"/>
        </w:trPr>
        <w:tc>
          <w:tcPr>
            <w:tcW w:w="3295" w:type="dxa"/>
            <w:tcBorders>
              <w:top w:val="single" w:sz="4" w:space="0" w:color="auto"/>
            </w:tcBorders>
            <w:shd w:val="clear" w:color="auto" w:fill="DBE5F1" w:themeFill="accent1" w:themeFillTint="33"/>
          </w:tcPr>
          <w:p w14:paraId="6E163847" w14:textId="0FF7C17F" w:rsidR="00346840" w:rsidRPr="0039672E" w:rsidRDefault="00346840" w:rsidP="00A2483D">
            <w:pPr>
              <w:pStyle w:val="NoSpacing"/>
              <w:rPr>
                <w:b/>
              </w:rPr>
            </w:pPr>
            <w:r w:rsidRPr="0039672E">
              <w:rPr>
                <w:b/>
              </w:rPr>
              <w:lastRenderedPageBreak/>
              <w:t xml:space="preserve">Effectiveness of </w:t>
            </w:r>
            <w:r>
              <w:rPr>
                <w:b/>
              </w:rPr>
              <w:t xml:space="preserve">the </w:t>
            </w:r>
            <w:r w:rsidRPr="0039672E">
              <w:rPr>
                <w:b/>
              </w:rPr>
              <w:t>measure</w:t>
            </w:r>
          </w:p>
          <w:p w14:paraId="6579E79D" w14:textId="77777777" w:rsidR="00346840" w:rsidRPr="0039672E" w:rsidRDefault="00346840" w:rsidP="00A2483D">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10B75A90" w14:textId="77777777" w:rsidR="00346840" w:rsidRDefault="00346840" w:rsidP="00A2483D">
            <w:pPr>
              <w:pStyle w:val="NoSpacing"/>
              <w:rPr>
                <w:sz w:val="20"/>
              </w:rPr>
            </w:pPr>
          </w:p>
          <w:p w14:paraId="651A08B2" w14:textId="77777777" w:rsidR="00346840" w:rsidRPr="00DE32F5" w:rsidRDefault="00346840" w:rsidP="00A2483D">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275"/>
              <w:gridCol w:w="426"/>
              <w:gridCol w:w="973"/>
              <w:gridCol w:w="425"/>
              <w:gridCol w:w="1295"/>
              <w:gridCol w:w="425"/>
              <w:gridCol w:w="1276"/>
              <w:gridCol w:w="425"/>
            </w:tblGrid>
            <w:tr w:rsidR="008B4A4D" w14:paraId="3234C59A" w14:textId="45FD5153" w:rsidTr="003F77F5">
              <w:tc>
                <w:tcPr>
                  <w:tcW w:w="2116" w:type="dxa"/>
                </w:tcPr>
                <w:p w14:paraId="32CC9252" w14:textId="77777777" w:rsidR="008B4A4D" w:rsidRPr="002E17F6" w:rsidRDefault="008B4A4D" w:rsidP="00A2483D">
                  <w:pPr>
                    <w:pStyle w:val="NoSpacing"/>
                    <w:rPr>
                      <w:b/>
                      <w:i/>
                      <w:sz w:val="20"/>
                    </w:rPr>
                  </w:pPr>
                  <w:r>
                    <w:rPr>
                      <w:b/>
                      <w:i/>
                      <w:sz w:val="20"/>
                    </w:rPr>
                    <w:t>Effectiveness of measures</w:t>
                  </w:r>
                </w:p>
              </w:tc>
              <w:tc>
                <w:tcPr>
                  <w:tcW w:w="1275" w:type="dxa"/>
                </w:tcPr>
                <w:p w14:paraId="6D161EB7" w14:textId="77777777" w:rsidR="008B4A4D" w:rsidRDefault="008B4A4D" w:rsidP="00A2483D">
                  <w:pPr>
                    <w:pStyle w:val="NoSpacing"/>
                    <w:jc w:val="right"/>
                    <w:rPr>
                      <w:i/>
                      <w:sz w:val="20"/>
                    </w:rPr>
                  </w:pPr>
                  <w:r>
                    <w:rPr>
                      <w:i/>
                      <w:sz w:val="20"/>
                    </w:rPr>
                    <w:t>Effective</w:t>
                  </w:r>
                </w:p>
              </w:tc>
              <w:tc>
                <w:tcPr>
                  <w:tcW w:w="426" w:type="dxa"/>
                  <w:shd w:val="clear" w:color="auto" w:fill="DBE5F1" w:themeFill="accent1" w:themeFillTint="33"/>
                </w:tcPr>
                <w:p w14:paraId="04A544E6" w14:textId="0D12F7BD" w:rsidR="008B4A4D" w:rsidRDefault="008B4A4D" w:rsidP="00A2483D">
                  <w:pPr>
                    <w:pStyle w:val="NoSpacing"/>
                    <w:jc w:val="right"/>
                    <w:rPr>
                      <w:i/>
                      <w:sz w:val="20"/>
                    </w:rPr>
                  </w:pPr>
                </w:p>
              </w:tc>
              <w:tc>
                <w:tcPr>
                  <w:tcW w:w="973" w:type="dxa"/>
                </w:tcPr>
                <w:p w14:paraId="5350ED1E" w14:textId="77777777" w:rsidR="008B4A4D" w:rsidRDefault="008B4A4D" w:rsidP="00A2483D">
                  <w:pPr>
                    <w:pStyle w:val="NoSpacing"/>
                    <w:jc w:val="right"/>
                    <w:rPr>
                      <w:i/>
                      <w:sz w:val="20"/>
                    </w:rPr>
                  </w:pPr>
                  <w:r>
                    <w:rPr>
                      <w:i/>
                      <w:sz w:val="20"/>
                    </w:rPr>
                    <w:t xml:space="preserve">Neutral </w:t>
                  </w:r>
                </w:p>
              </w:tc>
              <w:tc>
                <w:tcPr>
                  <w:tcW w:w="425" w:type="dxa"/>
                  <w:shd w:val="clear" w:color="auto" w:fill="DBE5F1" w:themeFill="accent1" w:themeFillTint="33"/>
                </w:tcPr>
                <w:p w14:paraId="62A56F43" w14:textId="2BB6C269" w:rsidR="008B4A4D" w:rsidRDefault="007A2E53" w:rsidP="00A2483D">
                  <w:pPr>
                    <w:pStyle w:val="NoSpacing"/>
                    <w:jc w:val="right"/>
                    <w:rPr>
                      <w:i/>
                      <w:sz w:val="20"/>
                    </w:rPr>
                  </w:pPr>
                  <w:r>
                    <w:rPr>
                      <w:i/>
                      <w:sz w:val="20"/>
                    </w:rPr>
                    <w:t>X</w:t>
                  </w:r>
                </w:p>
              </w:tc>
              <w:tc>
                <w:tcPr>
                  <w:tcW w:w="1295" w:type="dxa"/>
                </w:tcPr>
                <w:p w14:paraId="7FAA5599" w14:textId="77777777" w:rsidR="008B4A4D" w:rsidRDefault="008B4A4D" w:rsidP="00A2483D">
                  <w:pPr>
                    <w:pStyle w:val="NoSpacing"/>
                    <w:jc w:val="right"/>
                    <w:rPr>
                      <w:i/>
                      <w:sz w:val="20"/>
                    </w:rPr>
                  </w:pPr>
                  <w:r>
                    <w:rPr>
                      <w:i/>
                      <w:sz w:val="20"/>
                    </w:rPr>
                    <w:t>Ineffective</w:t>
                  </w:r>
                </w:p>
              </w:tc>
              <w:tc>
                <w:tcPr>
                  <w:tcW w:w="425" w:type="dxa"/>
                  <w:shd w:val="clear" w:color="auto" w:fill="DBE5F1" w:themeFill="accent1" w:themeFillTint="33"/>
                </w:tcPr>
                <w:p w14:paraId="44A2BCE0" w14:textId="77777777" w:rsidR="008B4A4D" w:rsidRDefault="008B4A4D" w:rsidP="00A2483D">
                  <w:pPr>
                    <w:pStyle w:val="NoSpacing"/>
                    <w:rPr>
                      <w:i/>
                      <w:sz w:val="20"/>
                    </w:rPr>
                  </w:pPr>
                </w:p>
              </w:tc>
              <w:tc>
                <w:tcPr>
                  <w:tcW w:w="1276" w:type="dxa"/>
                  <w:shd w:val="clear" w:color="auto" w:fill="auto"/>
                </w:tcPr>
                <w:p w14:paraId="3C3B8504" w14:textId="7AEEDD5F" w:rsidR="008B4A4D" w:rsidRDefault="008B4A4D" w:rsidP="00A2483D">
                  <w:pPr>
                    <w:pStyle w:val="NoSpacing"/>
                    <w:rPr>
                      <w:i/>
                      <w:sz w:val="20"/>
                    </w:rPr>
                  </w:pPr>
                  <w:r>
                    <w:rPr>
                      <w:i/>
                      <w:sz w:val="20"/>
                    </w:rPr>
                    <w:t>Unknown</w:t>
                  </w:r>
                </w:p>
              </w:tc>
              <w:tc>
                <w:tcPr>
                  <w:tcW w:w="425" w:type="dxa"/>
                  <w:shd w:val="clear" w:color="auto" w:fill="DBE5F1" w:themeFill="accent1" w:themeFillTint="33"/>
                </w:tcPr>
                <w:p w14:paraId="2225BE1D" w14:textId="77777777" w:rsidR="008B4A4D" w:rsidRDefault="008B4A4D" w:rsidP="00A2483D">
                  <w:pPr>
                    <w:pStyle w:val="NoSpacing"/>
                    <w:rPr>
                      <w:i/>
                      <w:sz w:val="20"/>
                    </w:rPr>
                  </w:pPr>
                </w:p>
              </w:tc>
            </w:tr>
          </w:tbl>
          <w:p w14:paraId="35798C57" w14:textId="1B53FC21" w:rsidR="00D54874" w:rsidRDefault="00D54874" w:rsidP="00A2483D">
            <w:pPr>
              <w:pStyle w:val="NoSpacing"/>
              <w:rPr>
                <w:i/>
                <w:sz w:val="20"/>
              </w:rPr>
            </w:pPr>
          </w:p>
          <w:p w14:paraId="26546D11" w14:textId="7FFC2CBD" w:rsidR="00346840" w:rsidRDefault="00346840" w:rsidP="00A2483D">
            <w:pPr>
              <w:pStyle w:val="NoSpacing"/>
              <w:rPr>
                <w:sz w:val="20"/>
              </w:rPr>
            </w:pPr>
            <w:r w:rsidRPr="00C856F5">
              <w:rPr>
                <w:i/>
                <w:sz w:val="20"/>
              </w:rPr>
              <w:t>Rationale</w:t>
            </w:r>
            <w:r>
              <w:rPr>
                <w:sz w:val="20"/>
              </w:rPr>
              <w:t>:</w:t>
            </w:r>
          </w:p>
          <w:p w14:paraId="7601B03A" w14:textId="7E9EF7C5" w:rsidR="00095362" w:rsidRDefault="00D54874" w:rsidP="00DF71D6">
            <w:pPr>
              <w:pStyle w:val="NoSpacing"/>
            </w:pPr>
            <w:r w:rsidRPr="005A0032">
              <w:t xml:space="preserve">BWM </w:t>
            </w:r>
            <w:r w:rsidR="004F77BF" w:rsidRPr="005A0032">
              <w:t xml:space="preserve">is </w:t>
            </w:r>
            <w:r w:rsidR="003A711B" w:rsidRPr="005A0032">
              <w:t xml:space="preserve">a key component for </w:t>
            </w:r>
            <w:r w:rsidR="00826FE5">
              <w:t xml:space="preserve">the </w:t>
            </w:r>
            <w:r w:rsidR="003A711B" w:rsidRPr="005A0032">
              <w:t>management of aquatic invasive species</w:t>
            </w:r>
            <w:r w:rsidR="00826FE5">
              <w:t>,</w:t>
            </w:r>
            <w:r w:rsidR="003A711B" w:rsidRPr="005A0032">
              <w:t xml:space="preserve"> but it is </w:t>
            </w:r>
            <w:r w:rsidR="004F77BF" w:rsidRPr="005A0032">
              <w:t>not 100% effective</w:t>
            </w:r>
            <w:r w:rsidR="00363405" w:rsidRPr="005A0032">
              <w:t xml:space="preserve">, depending on several parameters </w:t>
            </w:r>
            <w:r w:rsidR="00261C72" w:rsidRPr="005A0032">
              <w:t xml:space="preserve">such as </w:t>
            </w:r>
            <w:r w:rsidR="00826FE5">
              <w:t xml:space="preserve">species </w:t>
            </w:r>
            <w:r w:rsidR="00D569CF" w:rsidRPr="005A0032">
              <w:t>life stages</w:t>
            </w:r>
            <w:r w:rsidR="00826FE5">
              <w:t xml:space="preserve"> that are transported</w:t>
            </w:r>
            <w:r w:rsidR="00D569CF" w:rsidRPr="005A0032">
              <w:t xml:space="preserve">, </w:t>
            </w:r>
            <w:r w:rsidR="007E2088" w:rsidRPr="005A0032">
              <w:t xml:space="preserve">salinity, physiological conditions, </w:t>
            </w:r>
            <w:r w:rsidR="00826FE5">
              <w:t xml:space="preserve">and </w:t>
            </w:r>
            <w:r w:rsidR="007E2088" w:rsidRPr="005A0032">
              <w:t xml:space="preserve">structure of </w:t>
            </w:r>
            <w:r w:rsidR="00826FE5">
              <w:t xml:space="preserve">ship </w:t>
            </w:r>
            <w:r w:rsidR="007E2088" w:rsidRPr="005A0032">
              <w:t>tanks</w:t>
            </w:r>
            <w:r w:rsidR="00261C72" w:rsidRPr="005A0032">
              <w:t>.</w:t>
            </w:r>
            <w:r w:rsidR="00135993" w:rsidRPr="005A0032">
              <w:t xml:space="preserve"> </w:t>
            </w:r>
          </w:p>
          <w:p w14:paraId="38A8ABD4" w14:textId="77777777" w:rsidR="00B3460B" w:rsidRDefault="00B3460B" w:rsidP="00DF71D6">
            <w:pPr>
              <w:pStyle w:val="NoSpacing"/>
            </w:pPr>
          </w:p>
          <w:p w14:paraId="073B0991" w14:textId="2F8A1025" w:rsidR="00B567AF" w:rsidRDefault="00052C92" w:rsidP="00DF71D6">
            <w:pPr>
              <w:pStyle w:val="NoSpacing"/>
            </w:pPr>
            <w:r w:rsidRPr="005A0032">
              <w:t>In 2011, the U.S. Environmen</w:t>
            </w:r>
            <w:r w:rsidR="009C0785">
              <w:t xml:space="preserve">tal Protection Agency </w:t>
            </w:r>
            <w:r w:rsidRPr="005A0032">
              <w:t>reported that “none of the assessed BWM systems can meet a standard that is 100 or 1000 times more stringent</w:t>
            </w:r>
            <w:r w:rsidR="009C0785">
              <w:t xml:space="preserve"> (EPA, 2011)</w:t>
            </w:r>
            <w:r w:rsidRPr="005A0032">
              <w:t>. Furthermore, it is not reasonable to assume that the</w:t>
            </w:r>
            <w:r w:rsidR="008B5046" w:rsidRPr="005A0032">
              <w:t xml:space="preserve"> </w:t>
            </w:r>
            <w:r w:rsidRPr="005A0032">
              <w:t xml:space="preserve">assessed BWMS are able to reliably meet or closely approach a “no living organism” standard”. </w:t>
            </w:r>
            <w:proofErr w:type="spellStart"/>
            <w:r w:rsidRPr="005A0032">
              <w:t>Bakalar</w:t>
            </w:r>
            <w:proofErr w:type="spellEnd"/>
            <w:r w:rsidRPr="005A0032">
              <w:t xml:space="preserve"> (2016) showed that the various </w:t>
            </w:r>
            <w:r w:rsidR="00F53D35" w:rsidRPr="005A0032">
              <w:t xml:space="preserve">BWT </w:t>
            </w:r>
            <w:r w:rsidRPr="005A0032">
              <w:t>systems have different effectiveness</w:t>
            </w:r>
            <w:r w:rsidR="00E60792" w:rsidRPr="005A0032">
              <w:t>, considering the</w:t>
            </w:r>
            <w:r w:rsidR="00095362">
              <w:t>ir</w:t>
            </w:r>
            <w:r w:rsidR="00E60792" w:rsidRPr="005A0032">
              <w:t xml:space="preserve"> maintenance and </w:t>
            </w:r>
            <w:r w:rsidR="00D071A0" w:rsidRPr="005A0032">
              <w:t xml:space="preserve">ecological footprint, and that usually </w:t>
            </w:r>
            <w:r w:rsidR="001A057D" w:rsidRPr="005A0032">
              <w:t xml:space="preserve">a combination of systems is adopted. </w:t>
            </w:r>
            <w:r w:rsidR="005B6E2E" w:rsidRPr="005A0032">
              <w:t xml:space="preserve">In </w:t>
            </w:r>
            <w:r w:rsidR="00E43A94">
              <w:t xml:space="preserve">the </w:t>
            </w:r>
            <w:r w:rsidR="005B6E2E" w:rsidRPr="005A0032">
              <w:t>Great Lakes</w:t>
            </w:r>
            <w:r w:rsidR="001631CF" w:rsidRPr="005A0032">
              <w:t xml:space="preserve"> and Chesapeake Bay (US</w:t>
            </w:r>
            <w:r w:rsidR="00E43A94">
              <w:t>A</w:t>
            </w:r>
            <w:r w:rsidR="001631CF" w:rsidRPr="005A0032">
              <w:t>)</w:t>
            </w:r>
            <w:r w:rsidR="005B6E2E" w:rsidRPr="005A0032">
              <w:t xml:space="preserve">, </w:t>
            </w:r>
            <w:r w:rsidR="001631CF" w:rsidRPr="005A0032">
              <w:t xml:space="preserve">Ruiz </w:t>
            </w:r>
            <w:r w:rsidR="00E43A94">
              <w:t>and</w:t>
            </w:r>
            <w:r w:rsidR="001631CF" w:rsidRPr="005A0032">
              <w:t xml:space="preserve"> Reid (2007) found that</w:t>
            </w:r>
            <w:r w:rsidR="00141E0E">
              <w:t>,</w:t>
            </w:r>
            <w:r w:rsidR="001631CF" w:rsidRPr="005A0032">
              <w:t xml:space="preserve"> </w:t>
            </w:r>
            <w:r w:rsidR="00141E0E" w:rsidRPr="005A0032">
              <w:t xml:space="preserve">when conducted according to requirements, </w:t>
            </w:r>
            <w:r w:rsidR="00464B8B" w:rsidRPr="005A0032">
              <w:t>BWE</w:t>
            </w:r>
            <w:r w:rsidR="00A67E93" w:rsidRPr="005A0032">
              <w:t xml:space="preserve"> can be</w:t>
            </w:r>
            <w:r w:rsidR="00F1282A" w:rsidRPr="005A0032">
              <w:t xml:space="preserve"> highly effective at removing coastal water and coastal</w:t>
            </w:r>
            <w:r w:rsidR="00E43A94">
              <w:t xml:space="preserve"> </w:t>
            </w:r>
            <w:r w:rsidR="00F1282A" w:rsidRPr="005A0032">
              <w:t>planktonic organisms</w:t>
            </w:r>
            <w:r w:rsidR="00A67E93" w:rsidRPr="005A0032">
              <w:t xml:space="preserve"> </w:t>
            </w:r>
            <w:r w:rsidR="00F1282A" w:rsidRPr="005A0032">
              <w:t xml:space="preserve">from ballast tanks, </w:t>
            </w:r>
            <w:r w:rsidR="00DC1B45" w:rsidRPr="005A0032">
              <w:t>with</w:t>
            </w:r>
            <w:r w:rsidR="008B5046" w:rsidRPr="005A0032">
              <w:t xml:space="preserve"> </w:t>
            </w:r>
            <w:r w:rsidR="00DE738C">
              <w:t>mortality rates</w:t>
            </w:r>
            <w:r w:rsidR="008B5046" w:rsidRPr="005A0032">
              <w:t xml:space="preserve"> </w:t>
            </w:r>
            <w:r w:rsidR="004C766E" w:rsidRPr="005A0032">
              <w:t>var</w:t>
            </w:r>
            <w:r w:rsidR="000E1BA4" w:rsidRPr="005A0032">
              <w:t>ying</w:t>
            </w:r>
            <w:r w:rsidR="004C766E" w:rsidRPr="005A0032">
              <w:t xml:space="preserve"> according to different </w:t>
            </w:r>
            <w:r w:rsidR="00141E0E">
              <w:t>tank</w:t>
            </w:r>
            <w:r w:rsidR="00141E0E" w:rsidRPr="005A0032">
              <w:t xml:space="preserve"> </w:t>
            </w:r>
            <w:r w:rsidR="00F1397B" w:rsidRPr="005A0032">
              <w:t>size and shape</w:t>
            </w:r>
            <w:r w:rsidR="00E43A94">
              <w:t>;</w:t>
            </w:r>
            <w:r w:rsidR="004C766E" w:rsidRPr="005A0032">
              <w:t xml:space="preserve"> </w:t>
            </w:r>
            <w:r w:rsidR="00E43A94">
              <w:t>however,</w:t>
            </w:r>
            <w:r w:rsidR="004C766E" w:rsidRPr="005A0032">
              <w:t xml:space="preserve"> </w:t>
            </w:r>
            <w:r w:rsidR="00DE738C">
              <w:t>100% mortality rates</w:t>
            </w:r>
            <w:r w:rsidR="00852B1C" w:rsidRPr="005A0032">
              <w:t xml:space="preserve"> </w:t>
            </w:r>
            <w:r w:rsidR="00DE738C">
              <w:t>were</w:t>
            </w:r>
            <w:r w:rsidR="00DE738C" w:rsidRPr="005A0032">
              <w:t xml:space="preserve"> </w:t>
            </w:r>
            <w:r w:rsidR="004C766E" w:rsidRPr="005A0032">
              <w:t>not reached</w:t>
            </w:r>
            <w:r w:rsidR="00F1282A" w:rsidRPr="005A0032">
              <w:t>.</w:t>
            </w:r>
            <w:r w:rsidR="001C7BCB" w:rsidRPr="005A0032">
              <w:t xml:space="preserve"> A recent review by Molina and Drake (2016)</w:t>
            </w:r>
            <w:r w:rsidR="00F70A77" w:rsidRPr="005A0032">
              <w:t xml:space="preserve"> </w:t>
            </w:r>
            <w:r w:rsidR="0009661C" w:rsidRPr="005A0032">
              <w:t>reported</w:t>
            </w:r>
            <w:r w:rsidR="00F70A77" w:rsidRPr="005A0032">
              <w:t xml:space="preserve"> that BW</w:t>
            </w:r>
            <w:r w:rsidR="00464B8B" w:rsidRPr="005A0032">
              <w:t>E</w:t>
            </w:r>
            <w:r w:rsidR="00F70A77" w:rsidRPr="005A0032">
              <w:t xml:space="preserve"> generally showed an efficient volumetric exchange of ballast water</w:t>
            </w:r>
            <w:r w:rsidR="00852B1C" w:rsidRPr="005A0032">
              <w:t>, while t</w:t>
            </w:r>
            <w:r w:rsidR="00F70A77" w:rsidRPr="005A0032">
              <w:t>he</w:t>
            </w:r>
            <w:r w:rsidR="00C13CBB" w:rsidRPr="005A0032">
              <w:t xml:space="preserve"> </w:t>
            </w:r>
            <w:r w:rsidR="00F70A77" w:rsidRPr="005A0032">
              <w:t>survey of reports evaluating biological exchange</w:t>
            </w:r>
            <w:r w:rsidR="00C13CBB" w:rsidRPr="005A0032">
              <w:t xml:space="preserve"> </w:t>
            </w:r>
            <w:r w:rsidR="00F70A77" w:rsidRPr="005A0032">
              <w:t>efficacy (by means of organism detection and</w:t>
            </w:r>
            <w:r w:rsidR="00C13CBB" w:rsidRPr="005A0032">
              <w:t xml:space="preserve"> </w:t>
            </w:r>
            <w:r w:rsidR="00F70A77" w:rsidRPr="005A0032">
              <w:t>quantification)</w:t>
            </w:r>
            <w:r w:rsidR="00C13CBB" w:rsidRPr="005A0032">
              <w:t xml:space="preserve"> </w:t>
            </w:r>
            <w:r w:rsidR="00F70A77" w:rsidRPr="005A0032">
              <w:t>indicated that organisms</w:t>
            </w:r>
            <w:r w:rsidR="00C13CBB" w:rsidRPr="005A0032">
              <w:t xml:space="preserve"> </w:t>
            </w:r>
            <w:r w:rsidR="00F70A77" w:rsidRPr="005A0032">
              <w:t>were not consistently removed from tanks following</w:t>
            </w:r>
            <w:r w:rsidR="00C13CBB" w:rsidRPr="005A0032">
              <w:t xml:space="preserve"> </w:t>
            </w:r>
            <w:r w:rsidR="00B567AF">
              <w:t xml:space="preserve">water </w:t>
            </w:r>
            <w:r w:rsidR="00F70A77" w:rsidRPr="005A0032">
              <w:t xml:space="preserve">exchange. </w:t>
            </w:r>
          </w:p>
          <w:p w14:paraId="39D4BA42" w14:textId="77777777" w:rsidR="00B3460B" w:rsidRDefault="00B3460B" w:rsidP="00DF71D6">
            <w:pPr>
              <w:pStyle w:val="NoSpacing"/>
            </w:pPr>
          </w:p>
          <w:p w14:paraId="661FEBCB" w14:textId="1B8827F9" w:rsidR="001A057D" w:rsidRDefault="00AA0087" w:rsidP="00DF71D6">
            <w:pPr>
              <w:pStyle w:val="NoSpacing"/>
            </w:pPr>
            <w:r w:rsidRPr="005A0032">
              <w:t xml:space="preserve">An assessment of the practicability of conducting </w:t>
            </w:r>
            <w:r w:rsidR="00B567AF">
              <w:t xml:space="preserve">ballast water </w:t>
            </w:r>
            <w:r w:rsidRPr="005A0032">
              <w:t>exchange</w:t>
            </w:r>
            <w:r w:rsidR="00B567AF">
              <w:t>,</w:t>
            </w:r>
            <w:r w:rsidRPr="005A0032">
              <w:t xml:space="preserve"> plus treatment</w:t>
            </w:r>
            <w:r w:rsidR="00B567AF">
              <w:t>,</w:t>
            </w:r>
            <w:r w:rsidRPr="005A0032">
              <w:t xml:space="preserve"> was performed by First and Drake (2017)</w:t>
            </w:r>
            <w:r w:rsidR="00265C6F" w:rsidRPr="005A0032">
              <w:t>:</w:t>
            </w:r>
            <w:r w:rsidR="00BD2233" w:rsidRPr="005A0032">
              <w:t xml:space="preserve"> </w:t>
            </w:r>
            <w:r w:rsidR="00265C6F" w:rsidRPr="005A0032">
              <w:t>analysing the records of ships arriving to US</w:t>
            </w:r>
            <w:r w:rsidR="00B567AF">
              <w:t>A</w:t>
            </w:r>
            <w:r w:rsidR="00265C6F" w:rsidRPr="005A0032">
              <w:t xml:space="preserve"> ports from 2004 through 2014 to characteri</w:t>
            </w:r>
            <w:r w:rsidR="00B567AF">
              <w:t>s</w:t>
            </w:r>
            <w:r w:rsidR="00265C6F" w:rsidRPr="005A0032">
              <w:t>e the frequency and location of BWE, they found that i</w:t>
            </w:r>
            <w:r w:rsidR="003C4C59" w:rsidRPr="005A0032">
              <w:t>n ports within the Great Lakes,</w:t>
            </w:r>
            <w:r w:rsidR="008D1CE0" w:rsidRPr="005A0032">
              <w:t xml:space="preserve"> </w:t>
            </w:r>
            <w:r w:rsidR="00265C6F" w:rsidRPr="005A0032">
              <w:t xml:space="preserve">only </w:t>
            </w:r>
            <w:r w:rsidR="003C4C59" w:rsidRPr="005A0032">
              <w:t>about 1% of vessels arriving—or 921 arrivals over 11</w:t>
            </w:r>
            <w:r w:rsidR="00265C6F" w:rsidRPr="005A0032">
              <w:t xml:space="preserve"> </w:t>
            </w:r>
            <w:r w:rsidR="003C4C59" w:rsidRPr="005A0032">
              <w:t>years—conducted BWE.</w:t>
            </w:r>
            <w:r w:rsidR="00265C6F" w:rsidRPr="005A0032">
              <w:t xml:space="preserve"> </w:t>
            </w:r>
            <w:r w:rsidR="007E2088" w:rsidRPr="005A0032">
              <w:t xml:space="preserve">They suggest </w:t>
            </w:r>
            <w:r w:rsidR="00261C72" w:rsidRPr="005A0032">
              <w:t>combining</w:t>
            </w:r>
            <w:r w:rsidR="007E2088" w:rsidRPr="005A0032">
              <w:t xml:space="preserve"> BWE a</w:t>
            </w:r>
            <w:r w:rsidR="00261C72" w:rsidRPr="005A0032">
              <w:t>n</w:t>
            </w:r>
            <w:r w:rsidR="007E2088" w:rsidRPr="005A0032">
              <w:t>d BWT</w:t>
            </w:r>
            <w:r w:rsidR="00261C72" w:rsidRPr="005A0032">
              <w:t xml:space="preserve">, even if </w:t>
            </w:r>
            <w:r w:rsidR="00362BFC" w:rsidRPr="005A0032">
              <w:t>this combination depends</w:t>
            </w:r>
            <w:r w:rsidR="007E2088" w:rsidRPr="005A0032">
              <w:t xml:space="preserve"> upon several factors, particularly </w:t>
            </w:r>
            <w:r w:rsidR="00B567AF">
              <w:t xml:space="preserve">on </w:t>
            </w:r>
            <w:r w:rsidR="007E2088" w:rsidRPr="005A0032">
              <w:t xml:space="preserve">the time available to </w:t>
            </w:r>
            <w:r w:rsidR="00DE738C">
              <w:t xml:space="preserve">safely </w:t>
            </w:r>
            <w:r w:rsidR="007E2088" w:rsidRPr="005A0032">
              <w:t>perform both operations in the appropriate area.</w:t>
            </w:r>
            <w:r w:rsidR="00BD2233" w:rsidRPr="005A0032">
              <w:t xml:space="preserve"> </w:t>
            </w:r>
          </w:p>
          <w:p w14:paraId="0FE8EE9C" w14:textId="3B271A12" w:rsidR="005A0032" w:rsidRPr="005A0032" w:rsidRDefault="005A0032" w:rsidP="00DF71D6">
            <w:pPr>
              <w:pStyle w:val="NoSpacing"/>
            </w:pPr>
          </w:p>
        </w:tc>
      </w:tr>
      <w:tr w:rsidR="00346840" w14:paraId="792092FA" w14:textId="77777777" w:rsidTr="00A2483D">
        <w:tc>
          <w:tcPr>
            <w:tcW w:w="3295" w:type="dxa"/>
            <w:shd w:val="clear" w:color="auto" w:fill="DBE5F1" w:themeFill="accent1" w:themeFillTint="33"/>
          </w:tcPr>
          <w:p w14:paraId="59CA24F5" w14:textId="77777777" w:rsidR="00346840" w:rsidRPr="0039672E" w:rsidRDefault="00346840" w:rsidP="00A2483D">
            <w:pPr>
              <w:pStyle w:val="NoSpacing"/>
              <w:rPr>
                <w:b/>
              </w:rPr>
            </w:pPr>
            <w:r w:rsidRPr="0039672E">
              <w:rPr>
                <w:b/>
              </w:rPr>
              <w:t>Effort required</w:t>
            </w:r>
          </w:p>
          <w:p w14:paraId="3AF8BA6C" w14:textId="51FA001C" w:rsidR="00346840" w:rsidRPr="002B6463" w:rsidRDefault="00346840" w:rsidP="00A2483D">
            <w:pPr>
              <w:pStyle w:val="NoSpacing"/>
              <w:rPr>
                <w:sz w:val="20"/>
              </w:rPr>
            </w:pPr>
            <w:r w:rsidRPr="00EA6987">
              <w:rPr>
                <w:sz w:val="20"/>
              </w:rPr>
              <w:t>e.g. period of time over which measure need</w:t>
            </w:r>
            <w:r w:rsidR="00577048">
              <w:rPr>
                <w:sz w:val="20"/>
              </w:rPr>
              <w:t>s</w:t>
            </w:r>
            <w:r w:rsidRPr="00EA6987">
              <w:rPr>
                <w:sz w:val="20"/>
              </w:rPr>
              <w:t xml:space="preserve"> to be applied to have results</w:t>
            </w:r>
          </w:p>
        </w:tc>
        <w:tc>
          <w:tcPr>
            <w:tcW w:w="10653" w:type="dxa"/>
          </w:tcPr>
          <w:p w14:paraId="73149EE4" w14:textId="784AD905" w:rsidR="00346840" w:rsidRPr="002B6463" w:rsidRDefault="00692BCD" w:rsidP="002919BE">
            <w:pPr>
              <w:pStyle w:val="NoSpacing"/>
              <w:rPr>
                <w:sz w:val="20"/>
              </w:rPr>
            </w:pPr>
            <w:r w:rsidRPr="005A0032">
              <w:t>BWM</w:t>
            </w:r>
            <w:r w:rsidR="002919BE">
              <w:t xml:space="preserve"> should be applied indefinitely</w:t>
            </w:r>
            <w:r w:rsidRPr="005A0032">
              <w:t xml:space="preserve">. </w:t>
            </w:r>
          </w:p>
        </w:tc>
      </w:tr>
      <w:tr w:rsidR="00346840" w14:paraId="213067CA" w14:textId="77777777" w:rsidTr="00A2483D">
        <w:tc>
          <w:tcPr>
            <w:tcW w:w="3295" w:type="dxa"/>
            <w:shd w:val="clear" w:color="auto" w:fill="DBE5F1" w:themeFill="accent1" w:themeFillTint="33"/>
          </w:tcPr>
          <w:p w14:paraId="71B36E4A" w14:textId="77777777" w:rsidR="00346840" w:rsidRPr="0039672E" w:rsidRDefault="00346840" w:rsidP="00A2483D">
            <w:pPr>
              <w:pStyle w:val="NoSpacing"/>
              <w:rPr>
                <w:b/>
                <w:sz w:val="24"/>
                <w:vertAlign w:val="superscript"/>
              </w:rPr>
            </w:pPr>
            <w:r w:rsidRPr="0039672E">
              <w:rPr>
                <w:b/>
              </w:rPr>
              <w:t>Resources required</w:t>
            </w:r>
            <w:r>
              <w:rPr>
                <w:b/>
              </w:rPr>
              <w:t xml:space="preserve"> </w:t>
            </w:r>
            <w:r>
              <w:rPr>
                <w:b/>
                <w:vertAlign w:val="superscript"/>
              </w:rPr>
              <w:t>1</w:t>
            </w:r>
          </w:p>
          <w:p w14:paraId="0B9AF543" w14:textId="77777777" w:rsidR="00346840" w:rsidRPr="002B6463" w:rsidRDefault="00346840" w:rsidP="00A2483D">
            <w:pPr>
              <w:pStyle w:val="NoSpacing"/>
              <w:rPr>
                <w:sz w:val="20"/>
              </w:rPr>
            </w:pPr>
            <w:r>
              <w:rPr>
                <w:sz w:val="20"/>
              </w:rPr>
              <w:t>e.g. cost, staff, equipment etc.</w:t>
            </w:r>
          </w:p>
        </w:tc>
        <w:tc>
          <w:tcPr>
            <w:tcW w:w="10653" w:type="dxa"/>
          </w:tcPr>
          <w:p w14:paraId="5CD03978" w14:textId="5AADB7AA" w:rsidR="00346840" w:rsidRDefault="00187EA0" w:rsidP="00D12AAD">
            <w:pPr>
              <w:pStyle w:val="NoSpacing"/>
            </w:pPr>
            <w:r w:rsidRPr="005A0032">
              <w:t xml:space="preserve">BWM is </w:t>
            </w:r>
            <w:r w:rsidR="002D06B5" w:rsidRPr="005A0032">
              <w:t>costly</w:t>
            </w:r>
            <w:r w:rsidR="005A0CBA" w:rsidRPr="005A0032">
              <w:t xml:space="preserve">. Costs vary according to the different </w:t>
            </w:r>
            <w:r w:rsidR="00127F22" w:rsidRPr="005A0032">
              <w:t xml:space="preserve">adopted </w:t>
            </w:r>
            <w:r w:rsidR="005A0CBA" w:rsidRPr="005A0032">
              <w:t>systems</w:t>
            </w:r>
            <w:r w:rsidR="00D23C97" w:rsidRPr="005A0032">
              <w:t xml:space="preserve">, </w:t>
            </w:r>
            <w:r w:rsidR="00B3078A">
              <w:t xml:space="preserve">different </w:t>
            </w:r>
            <w:r w:rsidR="00D23C97" w:rsidRPr="005A0032">
              <w:t>ballast</w:t>
            </w:r>
            <w:r w:rsidR="004E7A74" w:rsidRPr="005A0032">
              <w:t xml:space="preserve"> </w:t>
            </w:r>
            <w:r w:rsidR="00D23C97" w:rsidRPr="005A0032">
              <w:t>water treatment plants</w:t>
            </w:r>
            <w:r w:rsidR="002715C1" w:rsidRPr="005A0032">
              <w:t>,</w:t>
            </w:r>
            <w:r w:rsidR="00D23C97" w:rsidRPr="005A0032">
              <w:t xml:space="preserve"> their installation on board,</w:t>
            </w:r>
            <w:r w:rsidR="004E7A74" w:rsidRPr="005A0032">
              <w:t xml:space="preserve"> as well as </w:t>
            </w:r>
            <w:r w:rsidR="00D23C97" w:rsidRPr="005A0032">
              <w:t>operating and maintenance costs</w:t>
            </w:r>
            <w:r w:rsidR="00913D6F" w:rsidRPr="005A0032">
              <w:t>, pumps and the consumed fuel oil</w:t>
            </w:r>
            <w:r w:rsidR="007B617A" w:rsidRPr="005A0032">
              <w:t xml:space="preserve">. </w:t>
            </w:r>
            <w:proofErr w:type="spellStart"/>
            <w:r w:rsidR="00157750" w:rsidRPr="005A0032">
              <w:t>Vorkapić</w:t>
            </w:r>
            <w:proofErr w:type="spellEnd"/>
            <w:r w:rsidR="00157750" w:rsidRPr="005A0032">
              <w:t xml:space="preserve"> et al. (2018) </w:t>
            </w:r>
            <w:r w:rsidR="005C2319" w:rsidRPr="005A0032">
              <w:t>calculated the cost efficiency of two BWTs: a</w:t>
            </w:r>
            <w:r w:rsidR="00B21377" w:rsidRPr="005A0032">
              <w:t>ssuming that a ship makes 12 trips annually, t</w:t>
            </w:r>
            <w:r w:rsidR="0022731C" w:rsidRPr="005A0032">
              <w:t>he estimated average annual cost</w:t>
            </w:r>
            <w:r w:rsidR="005469E7" w:rsidRPr="005A0032">
              <w:t xml:space="preserve"> </w:t>
            </w:r>
            <w:r w:rsidR="0022731C" w:rsidRPr="005A0032">
              <w:t xml:space="preserve">of </w:t>
            </w:r>
            <w:r w:rsidR="005F316F" w:rsidRPr="005A0032">
              <w:t xml:space="preserve">BWE applying </w:t>
            </w:r>
            <w:r w:rsidR="00B3078A">
              <w:t xml:space="preserve">a </w:t>
            </w:r>
            <w:r w:rsidR="005F316F" w:rsidRPr="005A0032">
              <w:t xml:space="preserve">sequential method in accordance with D1 standard is </w:t>
            </w:r>
            <w:r w:rsidR="008915FA" w:rsidRPr="005A0032">
              <w:t xml:space="preserve">$ </w:t>
            </w:r>
            <w:r w:rsidR="005469E7" w:rsidRPr="005A0032">
              <w:t>4,368.960</w:t>
            </w:r>
            <w:r w:rsidR="00F25299" w:rsidRPr="005A0032">
              <w:t xml:space="preserve">, </w:t>
            </w:r>
            <w:r w:rsidR="00D12AAD" w:rsidRPr="005A0032">
              <w:t xml:space="preserve">the </w:t>
            </w:r>
            <w:r w:rsidR="00F25299" w:rsidRPr="005A0032">
              <w:lastRenderedPageBreak/>
              <w:t>estimated average annual cost of</w:t>
            </w:r>
            <w:r w:rsidR="00D12AAD" w:rsidRPr="005A0032">
              <w:t xml:space="preserve"> BWT according to D2 standard with UV irradiation is </w:t>
            </w:r>
            <w:r w:rsidR="008915FA" w:rsidRPr="005A0032">
              <w:t xml:space="preserve">$ </w:t>
            </w:r>
            <w:r w:rsidR="006905B6" w:rsidRPr="005A0032">
              <w:t xml:space="preserve">2,885.592, while the estimated average annual cost of BWT according to D2 standard with </w:t>
            </w:r>
            <w:proofErr w:type="spellStart"/>
            <w:r w:rsidR="005A50C5" w:rsidRPr="005A0032">
              <w:t>electrochlorination</w:t>
            </w:r>
            <w:proofErr w:type="spellEnd"/>
            <w:r w:rsidR="005A50C5" w:rsidRPr="005A0032">
              <w:t xml:space="preserve"> </w:t>
            </w:r>
            <w:r w:rsidR="006905B6" w:rsidRPr="005A0032">
              <w:t xml:space="preserve">is </w:t>
            </w:r>
            <w:r w:rsidR="008915FA" w:rsidRPr="005A0032">
              <w:t xml:space="preserve">$ </w:t>
            </w:r>
            <w:r w:rsidR="00A57C1D" w:rsidRPr="005A0032">
              <w:t>623.616</w:t>
            </w:r>
            <w:r w:rsidR="005C2319" w:rsidRPr="005A0032">
              <w:t>.</w:t>
            </w:r>
            <w:r w:rsidR="004A6CC4" w:rsidRPr="005A0032">
              <w:t xml:space="preserve"> </w:t>
            </w:r>
            <w:r w:rsidR="00FD122F" w:rsidRPr="005A0032">
              <w:t xml:space="preserve">Installation costs of BWM systems </w:t>
            </w:r>
            <w:r w:rsidR="00B3078A">
              <w:t>have been</w:t>
            </w:r>
            <w:r w:rsidR="00B3078A" w:rsidRPr="005A0032">
              <w:t xml:space="preserve"> </w:t>
            </w:r>
            <w:r w:rsidR="00FD122F" w:rsidRPr="005A0032">
              <w:t>estimated by ship</w:t>
            </w:r>
            <w:r w:rsidR="00DE738C">
              <w:t>-</w:t>
            </w:r>
            <w:r w:rsidR="00FD122F" w:rsidRPr="005A0032">
              <w:t>owner organisation BIMCO (the largest of the international shipping associations representing ship</w:t>
            </w:r>
            <w:r w:rsidR="00DE738C">
              <w:t>-</w:t>
            </w:r>
            <w:r w:rsidR="00FD122F" w:rsidRPr="005A0032">
              <w:t xml:space="preserve">owners) </w:t>
            </w:r>
            <w:r w:rsidR="00B3078A">
              <w:t xml:space="preserve">as going </w:t>
            </w:r>
            <w:r w:rsidR="00FD122F" w:rsidRPr="005A0032">
              <w:t>up to $</w:t>
            </w:r>
            <w:r w:rsidR="008915FA" w:rsidRPr="005A0032">
              <w:t xml:space="preserve"> </w:t>
            </w:r>
            <w:r w:rsidR="00FD122F" w:rsidRPr="005A0032">
              <w:t>5 million per ship</w:t>
            </w:r>
            <w:r w:rsidR="00810248">
              <w:rPr>
                <w:rStyle w:val="FootnoteReference"/>
              </w:rPr>
              <w:footnoteReference w:id="3"/>
            </w:r>
            <w:r w:rsidR="00810248">
              <w:t>.</w:t>
            </w:r>
            <w:r w:rsidR="00FD122F" w:rsidRPr="005A0032">
              <w:t xml:space="preserve"> </w:t>
            </w:r>
          </w:p>
          <w:p w14:paraId="52BFBFDD" w14:textId="205AF75C" w:rsidR="005A0032" w:rsidRPr="005A0032" w:rsidRDefault="005A0032" w:rsidP="00D12AAD">
            <w:pPr>
              <w:pStyle w:val="NoSpacing"/>
            </w:pPr>
          </w:p>
        </w:tc>
      </w:tr>
      <w:tr w:rsidR="00346840" w:rsidRPr="002B6463" w14:paraId="10FCED63" w14:textId="77777777" w:rsidTr="00A2483D">
        <w:tc>
          <w:tcPr>
            <w:tcW w:w="3295" w:type="dxa"/>
            <w:shd w:val="clear" w:color="auto" w:fill="DBE5F1" w:themeFill="accent1" w:themeFillTint="33"/>
          </w:tcPr>
          <w:p w14:paraId="590A7671" w14:textId="77777777" w:rsidR="00346840" w:rsidRPr="0039672E" w:rsidRDefault="00346840" w:rsidP="00A2483D">
            <w:pPr>
              <w:pStyle w:val="NoSpacing"/>
              <w:rPr>
                <w:b/>
              </w:rPr>
            </w:pPr>
            <w:r w:rsidRPr="0039672E">
              <w:rPr>
                <w:b/>
              </w:rPr>
              <w:lastRenderedPageBreak/>
              <w:t>Side effects (incl. potential)</w:t>
            </w:r>
            <w:r>
              <w:rPr>
                <w:b/>
              </w:rPr>
              <w:t xml:space="preserve"> – both positive and negative</w:t>
            </w:r>
          </w:p>
          <w:p w14:paraId="016EA086" w14:textId="77777777" w:rsidR="00346840" w:rsidRDefault="00346840" w:rsidP="00A2483D">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0C10F57F" w14:textId="77777777" w:rsidR="00346840" w:rsidRDefault="00346840" w:rsidP="00A2483D">
            <w:pPr>
              <w:pStyle w:val="NoSpacing"/>
              <w:rPr>
                <w:b/>
              </w:rPr>
            </w:pPr>
          </w:p>
          <w:p w14:paraId="01A6C130" w14:textId="77777777" w:rsidR="00346840" w:rsidRPr="0039672E" w:rsidRDefault="00346840" w:rsidP="00A2483D">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6CA79776" w14:textId="77777777" w:rsidTr="00A2483D">
              <w:tc>
                <w:tcPr>
                  <w:tcW w:w="2116" w:type="dxa"/>
                </w:tcPr>
                <w:p w14:paraId="754E0851" w14:textId="77777777" w:rsidR="00346840" w:rsidRPr="002E17F6" w:rsidRDefault="00346840" w:rsidP="00A2483D">
                  <w:pPr>
                    <w:pStyle w:val="NoSpacing"/>
                    <w:rPr>
                      <w:b/>
                      <w:i/>
                      <w:sz w:val="20"/>
                    </w:rPr>
                  </w:pPr>
                  <w:r w:rsidRPr="002E17F6">
                    <w:rPr>
                      <w:b/>
                      <w:i/>
                      <w:sz w:val="20"/>
                    </w:rPr>
                    <w:t>Environmental</w:t>
                  </w:r>
                  <w:r>
                    <w:rPr>
                      <w:b/>
                      <w:i/>
                      <w:sz w:val="20"/>
                    </w:rPr>
                    <w:t xml:space="preserve"> effects</w:t>
                  </w:r>
                </w:p>
              </w:tc>
              <w:tc>
                <w:tcPr>
                  <w:tcW w:w="1701" w:type="dxa"/>
                </w:tcPr>
                <w:p w14:paraId="4DA2049F"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5B9838D4" w14:textId="77777777" w:rsidR="00346840" w:rsidRDefault="00346840" w:rsidP="00A2483D">
                  <w:pPr>
                    <w:pStyle w:val="NoSpacing"/>
                    <w:jc w:val="right"/>
                    <w:rPr>
                      <w:i/>
                      <w:sz w:val="20"/>
                    </w:rPr>
                  </w:pPr>
                </w:p>
              </w:tc>
              <w:tc>
                <w:tcPr>
                  <w:tcW w:w="2268" w:type="dxa"/>
                </w:tcPr>
                <w:p w14:paraId="79C8FA86"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2E3FDAE5" w14:textId="5C29AA24" w:rsidR="00346840" w:rsidRDefault="00B806A3" w:rsidP="00A2483D">
                  <w:pPr>
                    <w:pStyle w:val="NoSpacing"/>
                    <w:jc w:val="right"/>
                    <w:rPr>
                      <w:i/>
                      <w:sz w:val="20"/>
                    </w:rPr>
                  </w:pPr>
                  <w:r>
                    <w:rPr>
                      <w:i/>
                      <w:sz w:val="20"/>
                    </w:rPr>
                    <w:t>X</w:t>
                  </w:r>
                </w:p>
              </w:tc>
              <w:tc>
                <w:tcPr>
                  <w:tcW w:w="2002" w:type="dxa"/>
                </w:tcPr>
                <w:p w14:paraId="62BD528A"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14145FB0" w14:textId="77777777" w:rsidR="00346840" w:rsidRDefault="00346840" w:rsidP="00A2483D">
                  <w:pPr>
                    <w:pStyle w:val="NoSpacing"/>
                    <w:rPr>
                      <w:i/>
                      <w:sz w:val="20"/>
                    </w:rPr>
                  </w:pPr>
                </w:p>
              </w:tc>
            </w:tr>
            <w:tr w:rsidR="00346840" w14:paraId="271F9D9A" w14:textId="77777777" w:rsidTr="00A2483D">
              <w:tc>
                <w:tcPr>
                  <w:tcW w:w="2116" w:type="dxa"/>
                </w:tcPr>
                <w:p w14:paraId="746A705E" w14:textId="77777777" w:rsidR="00346840" w:rsidRPr="002E17F6" w:rsidRDefault="00346840" w:rsidP="00A2483D">
                  <w:pPr>
                    <w:pStyle w:val="NoSpacing"/>
                    <w:rPr>
                      <w:b/>
                      <w:i/>
                      <w:sz w:val="20"/>
                    </w:rPr>
                  </w:pPr>
                  <w:r w:rsidRPr="002E17F6">
                    <w:rPr>
                      <w:b/>
                      <w:i/>
                      <w:sz w:val="20"/>
                    </w:rPr>
                    <w:t>Social</w:t>
                  </w:r>
                  <w:r>
                    <w:rPr>
                      <w:b/>
                      <w:i/>
                      <w:sz w:val="20"/>
                    </w:rPr>
                    <w:t xml:space="preserve"> effects</w:t>
                  </w:r>
                </w:p>
              </w:tc>
              <w:tc>
                <w:tcPr>
                  <w:tcW w:w="1701" w:type="dxa"/>
                </w:tcPr>
                <w:p w14:paraId="3265B292"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02805E97" w14:textId="77777777" w:rsidR="00346840" w:rsidRDefault="00346840" w:rsidP="00A2483D">
                  <w:pPr>
                    <w:pStyle w:val="NoSpacing"/>
                    <w:jc w:val="right"/>
                    <w:rPr>
                      <w:i/>
                      <w:sz w:val="20"/>
                    </w:rPr>
                  </w:pPr>
                </w:p>
              </w:tc>
              <w:tc>
                <w:tcPr>
                  <w:tcW w:w="2268" w:type="dxa"/>
                </w:tcPr>
                <w:p w14:paraId="11B96847"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10E21FB9" w14:textId="28E6DA2B" w:rsidR="00346840" w:rsidRDefault="00346840" w:rsidP="00A2483D">
                  <w:pPr>
                    <w:pStyle w:val="NoSpacing"/>
                    <w:jc w:val="right"/>
                    <w:rPr>
                      <w:i/>
                      <w:sz w:val="20"/>
                    </w:rPr>
                  </w:pPr>
                </w:p>
              </w:tc>
              <w:tc>
                <w:tcPr>
                  <w:tcW w:w="2002" w:type="dxa"/>
                </w:tcPr>
                <w:p w14:paraId="4DE7C1F7"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4F08FEB1" w14:textId="20438D57" w:rsidR="00346840" w:rsidRDefault="00501F74" w:rsidP="00A2483D">
                  <w:pPr>
                    <w:pStyle w:val="NoSpacing"/>
                    <w:rPr>
                      <w:i/>
                      <w:sz w:val="20"/>
                    </w:rPr>
                  </w:pPr>
                  <w:r>
                    <w:rPr>
                      <w:i/>
                      <w:sz w:val="20"/>
                    </w:rPr>
                    <w:t>X</w:t>
                  </w:r>
                </w:p>
              </w:tc>
            </w:tr>
            <w:tr w:rsidR="00346840" w14:paraId="7F15B9F6" w14:textId="77777777" w:rsidTr="00A2483D">
              <w:tc>
                <w:tcPr>
                  <w:tcW w:w="2116" w:type="dxa"/>
                </w:tcPr>
                <w:p w14:paraId="02EDD37F" w14:textId="77777777" w:rsidR="00346840" w:rsidRPr="002E17F6" w:rsidRDefault="00346840" w:rsidP="00A2483D">
                  <w:pPr>
                    <w:pStyle w:val="NoSpacing"/>
                    <w:rPr>
                      <w:b/>
                      <w:i/>
                      <w:sz w:val="20"/>
                    </w:rPr>
                  </w:pPr>
                  <w:r w:rsidRPr="002E17F6">
                    <w:rPr>
                      <w:b/>
                      <w:i/>
                      <w:sz w:val="20"/>
                    </w:rPr>
                    <w:t>Economic</w:t>
                  </w:r>
                  <w:r>
                    <w:rPr>
                      <w:b/>
                      <w:i/>
                      <w:sz w:val="20"/>
                    </w:rPr>
                    <w:t xml:space="preserve"> effects</w:t>
                  </w:r>
                </w:p>
              </w:tc>
              <w:tc>
                <w:tcPr>
                  <w:tcW w:w="1701" w:type="dxa"/>
                </w:tcPr>
                <w:p w14:paraId="78D76B9A"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7B47E330" w14:textId="77777777" w:rsidR="00346840" w:rsidRDefault="00346840" w:rsidP="00A2483D">
                  <w:pPr>
                    <w:pStyle w:val="NoSpacing"/>
                    <w:jc w:val="right"/>
                    <w:rPr>
                      <w:i/>
                      <w:sz w:val="20"/>
                    </w:rPr>
                  </w:pPr>
                </w:p>
              </w:tc>
              <w:tc>
                <w:tcPr>
                  <w:tcW w:w="2268" w:type="dxa"/>
                </w:tcPr>
                <w:p w14:paraId="0FE39D1B"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2A0EC13E" w14:textId="77777777" w:rsidR="00346840" w:rsidRDefault="00346840" w:rsidP="00A2483D">
                  <w:pPr>
                    <w:pStyle w:val="NoSpacing"/>
                    <w:jc w:val="right"/>
                    <w:rPr>
                      <w:i/>
                      <w:sz w:val="20"/>
                    </w:rPr>
                  </w:pPr>
                </w:p>
              </w:tc>
              <w:tc>
                <w:tcPr>
                  <w:tcW w:w="2002" w:type="dxa"/>
                </w:tcPr>
                <w:p w14:paraId="1318365A"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22E9D178" w14:textId="3499F821" w:rsidR="00346840" w:rsidRDefault="00663D19" w:rsidP="00A2483D">
                  <w:pPr>
                    <w:pStyle w:val="NoSpacing"/>
                    <w:rPr>
                      <w:i/>
                      <w:sz w:val="20"/>
                    </w:rPr>
                  </w:pPr>
                  <w:r>
                    <w:rPr>
                      <w:i/>
                      <w:sz w:val="20"/>
                    </w:rPr>
                    <w:t>X</w:t>
                  </w:r>
                </w:p>
              </w:tc>
            </w:tr>
          </w:tbl>
          <w:p w14:paraId="7F8C1C9B" w14:textId="77777777" w:rsidR="00346840" w:rsidRDefault="00346840" w:rsidP="00A2483D">
            <w:pPr>
              <w:pStyle w:val="NoSpacing"/>
              <w:rPr>
                <w:i/>
                <w:sz w:val="20"/>
              </w:rPr>
            </w:pPr>
          </w:p>
          <w:p w14:paraId="3D326B75" w14:textId="77777777" w:rsidR="00346840" w:rsidRDefault="00346840" w:rsidP="00A2483D">
            <w:pPr>
              <w:pStyle w:val="NoSpacing"/>
              <w:rPr>
                <w:sz w:val="20"/>
              </w:rPr>
            </w:pPr>
            <w:r w:rsidRPr="00C856F5">
              <w:rPr>
                <w:i/>
                <w:sz w:val="20"/>
              </w:rPr>
              <w:t>Rationale</w:t>
            </w:r>
            <w:r>
              <w:rPr>
                <w:sz w:val="20"/>
              </w:rPr>
              <w:t>:</w:t>
            </w:r>
          </w:p>
          <w:p w14:paraId="3E8D4FF3" w14:textId="56BD35E3" w:rsidR="00501F74" w:rsidRDefault="008A1CE1" w:rsidP="00501F74">
            <w:pPr>
              <w:pStyle w:val="NoSpacing"/>
              <w:rPr>
                <w:szCs w:val="20"/>
              </w:rPr>
            </w:pPr>
            <w:r w:rsidRPr="005A0032">
              <w:rPr>
                <w:szCs w:val="20"/>
              </w:rPr>
              <w:t>S</w:t>
            </w:r>
            <w:r w:rsidR="00BF2A06" w:rsidRPr="005A0032">
              <w:rPr>
                <w:szCs w:val="20"/>
              </w:rPr>
              <w:t xml:space="preserve">ome </w:t>
            </w:r>
            <w:r w:rsidRPr="005A0032">
              <w:rPr>
                <w:szCs w:val="20"/>
              </w:rPr>
              <w:t>BWTs can cause e</w:t>
            </w:r>
            <w:r w:rsidR="00BF2A06" w:rsidRPr="005A0032">
              <w:rPr>
                <w:szCs w:val="20"/>
              </w:rPr>
              <w:t>nvironmental pollution</w:t>
            </w:r>
            <w:r w:rsidRPr="005A0032">
              <w:rPr>
                <w:szCs w:val="20"/>
              </w:rPr>
              <w:t xml:space="preserve">, i.e. </w:t>
            </w:r>
            <w:r w:rsidR="00BF2A06" w:rsidRPr="005A0032">
              <w:rPr>
                <w:szCs w:val="20"/>
              </w:rPr>
              <w:t>introduction of contaminants into the natural environment that could cause adverse change</w:t>
            </w:r>
            <w:r w:rsidRPr="005A0032">
              <w:rPr>
                <w:szCs w:val="20"/>
              </w:rPr>
              <w:t>, especially if they use active substances</w:t>
            </w:r>
            <w:r w:rsidR="00BF2A06" w:rsidRPr="005A0032">
              <w:rPr>
                <w:szCs w:val="20"/>
              </w:rPr>
              <w:t>.</w:t>
            </w:r>
            <w:r w:rsidRPr="005A0032">
              <w:rPr>
                <w:szCs w:val="20"/>
              </w:rPr>
              <w:t xml:space="preserve"> There is indeed a classification of environmental friendliness of a particular BWT, and the used methods should be approved and certified after a test process.</w:t>
            </w:r>
            <w:r w:rsidR="003F4660" w:rsidRPr="005A0032">
              <w:rPr>
                <w:szCs w:val="20"/>
              </w:rPr>
              <w:t xml:space="preserve"> </w:t>
            </w:r>
            <w:r w:rsidR="00501F74">
              <w:rPr>
                <w:szCs w:val="20"/>
              </w:rPr>
              <w:t>E</w:t>
            </w:r>
            <w:r w:rsidR="003F4660" w:rsidRPr="005A0032">
              <w:rPr>
                <w:szCs w:val="20"/>
              </w:rPr>
              <w:t xml:space="preserve">ven if </w:t>
            </w:r>
            <w:r w:rsidR="00501F74">
              <w:rPr>
                <w:szCs w:val="20"/>
              </w:rPr>
              <w:t>c</w:t>
            </w:r>
            <w:r w:rsidR="00501F74" w:rsidRPr="005A0032">
              <w:rPr>
                <w:szCs w:val="20"/>
              </w:rPr>
              <w:t xml:space="preserve">hemical methods </w:t>
            </w:r>
            <w:r w:rsidR="003F4660" w:rsidRPr="005A0032">
              <w:rPr>
                <w:szCs w:val="20"/>
              </w:rPr>
              <w:t xml:space="preserve">effectively reduce the risk of aquatic species invasions, </w:t>
            </w:r>
            <w:r w:rsidR="00501F74">
              <w:rPr>
                <w:szCs w:val="20"/>
              </w:rPr>
              <w:t xml:space="preserve">they </w:t>
            </w:r>
            <w:r w:rsidR="003F4660" w:rsidRPr="005A0032">
              <w:rPr>
                <w:szCs w:val="20"/>
              </w:rPr>
              <w:t xml:space="preserve">have the most </w:t>
            </w:r>
            <w:r w:rsidR="00965D47" w:rsidRPr="005A0032">
              <w:rPr>
                <w:szCs w:val="20"/>
              </w:rPr>
              <w:t>likely</w:t>
            </w:r>
            <w:r w:rsidR="003F4660" w:rsidRPr="005A0032">
              <w:rPr>
                <w:szCs w:val="20"/>
              </w:rPr>
              <w:t xml:space="preserve"> </w:t>
            </w:r>
            <w:r w:rsidR="00501F74">
              <w:rPr>
                <w:szCs w:val="20"/>
              </w:rPr>
              <w:t xml:space="preserve">negative </w:t>
            </w:r>
            <w:r w:rsidR="003F4660" w:rsidRPr="005A0032">
              <w:rPr>
                <w:szCs w:val="20"/>
              </w:rPr>
              <w:t>side</w:t>
            </w:r>
            <w:r w:rsidR="00501F74">
              <w:rPr>
                <w:szCs w:val="20"/>
              </w:rPr>
              <w:t xml:space="preserve"> </w:t>
            </w:r>
            <w:r w:rsidR="003F4660" w:rsidRPr="005A0032">
              <w:rPr>
                <w:szCs w:val="20"/>
              </w:rPr>
              <w:t>effects: for example, oxidative water treatment forms disinfection by-products that may harm humans and marine biota (</w:t>
            </w:r>
            <w:proofErr w:type="spellStart"/>
            <w:r w:rsidR="003F4660" w:rsidRPr="005A0032">
              <w:rPr>
                <w:szCs w:val="20"/>
              </w:rPr>
              <w:t>Werschkun</w:t>
            </w:r>
            <w:proofErr w:type="spellEnd"/>
            <w:r w:rsidR="003F4660" w:rsidRPr="005A0032">
              <w:rPr>
                <w:szCs w:val="20"/>
              </w:rPr>
              <w:t xml:space="preserve"> et al.</w:t>
            </w:r>
            <w:r w:rsidR="001738DC" w:rsidRPr="005A0032">
              <w:rPr>
                <w:szCs w:val="20"/>
              </w:rPr>
              <w:t>,</w:t>
            </w:r>
            <w:r w:rsidR="003F4660" w:rsidRPr="005A0032">
              <w:rPr>
                <w:szCs w:val="20"/>
              </w:rPr>
              <w:t xml:space="preserve"> 2014).</w:t>
            </w:r>
            <w:r w:rsidR="00346CED" w:rsidRPr="005A0032">
              <w:rPr>
                <w:szCs w:val="20"/>
              </w:rPr>
              <w:t xml:space="preserve"> </w:t>
            </w:r>
            <w:r w:rsidR="00501F74" w:rsidRPr="005A0032">
              <w:rPr>
                <w:szCs w:val="20"/>
              </w:rPr>
              <w:t xml:space="preserve">A positive </w:t>
            </w:r>
            <w:r w:rsidR="00501F74">
              <w:rPr>
                <w:szCs w:val="20"/>
              </w:rPr>
              <w:t xml:space="preserve">environmental side </w:t>
            </w:r>
            <w:r w:rsidR="00501F74" w:rsidRPr="005A0032">
              <w:rPr>
                <w:szCs w:val="20"/>
              </w:rPr>
              <w:t xml:space="preserve">effect </w:t>
            </w:r>
            <w:r w:rsidR="00501F74">
              <w:rPr>
                <w:szCs w:val="20"/>
              </w:rPr>
              <w:t xml:space="preserve">is that </w:t>
            </w:r>
            <w:r w:rsidR="00501F74" w:rsidRPr="005A0032">
              <w:rPr>
                <w:szCs w:val="20"/>
              </w:rPr>
              <w:t>other potential IAS can be tackled using this measure.</w:t>
            </w:r>
          </w:p>
          <w:p w14:paraId="30FA5270" w14:textId="77777777" w:rsidR="00B3460B" w:rsidRDefault="00B3460B" w:rsidP="00501F74">
            <w:pPr>
              <w:pStyle w:val="NoSpacing"/>
              <w:rPr>
                <w:szCs w:val="20"/>
              </w:rPr>
            </w:pPr>
          </w:p>
          <w:p w14:paraId="055D8176" w14:textId="7D1C8AD7" w:rsidR="008A1CE1" w:rsidRPr="005A0032" w:rsidRDefault="00346CED" w:rsidP="00DF71D6">
            <w:pPr>
              <w:pStyle w:val="NoSpacing"/>
              <w:rPr>
                <w:szCs w:val="20"/>
              </w:rPr>
            </w:pPr>
            <w:r w:rsidRPr="005A0032">
              <w:rPr>
                <w:szCs w:val="20"/>
              </w:rPr>
              <w:t>Finally, as reported above, BWM is costly, so it can have negative economic effects on ship companies. The cost</w:t>
            </w:r>
            <w:r w:rsidR="00FD122F" w:rsidRPr="005A0032">
              <w:rPr>
                <w:szCs w:val="20"/>
              </w:rPr>
              <w:t>s</w:t>
            </w:r>
            <w:r w:rsidRPr="005A0032">
              <w:rPr>
                <w:szCs w:val="20"/>
              </w:rPr>
              <w:t xml:space="preserve"> differ according to the BWT systems </w:t>
            </w:r>
            <w:r w:rsidR="00501F74">
              <w:rPr>
                <w:szCs w:val="20"/>
              </w:rPr>
              <w:t xml:space="preserve">used </w:t>
            </w:r>
            <w:r w:rsidRPr="005A0032">
              <w:rPr>
                <w:szCs w:val="20"/>
              </w:rPr>
              <w:t xml:space="preserve">and can be </w:t>
            </w:r>
            <w:r w:rsidR="00501F74">
              <w:rPr>
                <w:szCs w:val="20"/>
              </w:rPr>
              <w:t>reduced</w:t>
            </w:r>
            <w:r w:rsidR="00501F74" w:rsidRPr="005A0032">
              <w:rPr>
                <w:szCs w:val="20"/>
              </w:rPr>
              <w:t xml:space="preserve"> </w:t>
            </w:r>
            <w:r w:rsidR="00070092" w:rsidRPr="005A0032">
              <w:rPr>
                <w:szCs w:val="20"/>
              </w:rPr>
              <w:t>over</w:t>
            </w:r>
            <w:r w:rsidRPr="005A0032">
              <w:rPr>
                <w:szCs w:val="20"/>
              </w:rPr>
              <w:t xml:space="preserve"> the</w:t>
            </w:r>
            <w:r w:rsidR="004A6CC4" w:rsidRPr="005A0032">
              <w:rPr>
                <w:szCs w:val="20"/>
              </w:rPr>
              <w:t xml:space="preserve"> ship’s lifetime</w:t>
            </w:r>
            <w:r w:rsidRPr="005A0032">
              <w:rPr>
                <w:szCs w:val="20"/>
              </w:rPr>
              <w:t>, but the initial investment is certainly costly</w:t>
            </w:r>
            <w:r w:rsidR="00DF71D6" w:rsidRPr="005A0032">
              <w:rPr>
                <w:szCs w:val="20"/>
              </w:rPr>
              <w:t xml:space="preserve">. </w:t>
            </w:r>
          </w:p>
          <w:p w14:paraId="525138CD" w14:textId="6D24989F" w:rsidR="005A0032" w:rsidRPr="002B6463" w:rsidRDefault="005A0032">
            <w:pPr>
              <w:pStyle w:val="NoSpacing"/>
              <w:rPr>
                <w:sz w:val="20"/>
              </w:rPr>
            </w:pPr>
          </w:p>
        </w:tc>
      </w:tr>
      <w:tr w:rsidR="00346840" w:rsidRPr="00C75EDD" w14:paraId="363A0D80" w14:textId="77777777" w:rsidTr="00A2483D">
        <w:tc>
          <w:tcPr>
            <w:tcW w:w="3295" w:type="dxa"/>
            <w:shd w:val="clear" w:color="auto" w:fill="DBE5F1" w:themeFill="accent1" w:themeFillTint="33"/>
          </w:tcPr>
          <w:p w14:paraId="522BAB6E" w14:textId="77777777" w:rsidR="00346840" w:rsidRPr="0039672E" w:rsidRDefault="00346840" w:rsidP="00A2483D">
            <w:pPr>
              <w:pStyle w:val="NoSpacing"/>
              <w:rPr>
                <w:b/>
              </w:rPr>
            </w:pPr>
            <w:r w:rsidRPr="0039672E">
              <w:rPr>
                <w:b/>
              </w:rPr>
              <w:t>Acceptability to stakeholders</w:t>
            </w:r>
          </w:p>
          <w:p w14:paraId="705C8B33" w14:textId="77777777" w:rsidR="00346840" w:rsidRDefault="00346840" w:rsidP="00A2483D">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2955277A" w14:textId="77777777" w:rsidR="00346840" w:rsidRDefault="00346840" w:rsidP="00A2483D">
            <w:pPr>
              <w:pStyle w:val="NoSpacing"/>
              <w:rPr>
                <w:sz w:val="20"/>
              </w:rPr>
            </w:pPr>
          </w:p>
          <w:p w14:paraId="42D84837" w14:textId="77777777" w:rsidR="00346840" w:rsidRPr="002B6463" w:rsidRDefault="00346840" w:rsidP="00A2483D">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4A82BED4" w14:textId="77777777" w:rsidTr="00A2483D">
              <w:tc>
                <w:tcPr>
                  <w:tcW w:w="2116" w:type="dxa"/>
                </w:tcPr>
                <w:p w14:paraId="7E573819" w14:textId="77777777" w:rsidR="00346840" w:rsidRPr="002E17F6" w:rsidRDefault="00346840" w:rsidP="00A2483D">
                  <w:pPr>
                    <w:pStyle w:val="NoSpacing"/>
                    <w:rPr>
                      <w:b/>
                      <w:i/>
                      <w:sz w:val="20"/>
                    </w:rPr>
                  </w:pPr>
                  <w:r w:rsidRPr="002E17F6">
                    <w:rPr>
                      <w:b/>
                      <w:i/>
                      <w:sz w:val="20"/>
                    </w:rPr>
                    <w:t>Acceptability to stakeholders</w:t>
                  </w:r>
                </w:p>
              </w:tc>
              <w:tc>
                <w:tcPr>
                  <w:tcW w:w="1701" w:type="dxa"/>
                </w:tcPr>
                <w:p w14:paraId="73101A47" w14:textId="77777777" w:rsidR="00346840" w:rsidRDefault="00346840" w:rsidP="00A2483D">
                  <w:pPr>
                    <w:pStyle w:val="NoSpacing"/>
                    <w:jc w:val="right"/>
                    <w:rPr>
                      <w:i/>
                      <w:sz w:val="20"/>
                    </w:rPr>
                  </w:pPr>
                  <w:r>
                    <w:rPr>
                      <w:i/>
                      <w:sz w:val="20"/>
                    </w:rPr>
                    <w:t>Acceptable</w:t>
                  </w:r>
                </w:p>
              </w:tc>
              <w:tc>
                <w:tcPr>
                  <w:tcW w:w="425" w:type="dxa"/>
                  <w:shd w:val="clear" w:color="auto" w:fill="DBE5F1" w:themeFill="accent1" w:themeFillTint="33"/>
                </w:tcPr>
                <w:p w14:paraId="4BCD1818" w14:textId="77777777" w:rsidR="00346840" w:rsidRDefault="00346840" w:rsidP="00A2483D">
                  <w:pPr>
                    <w:pStyle w:val="NoSpacing"/>
                    <w:jc w:val="right"/>
                    <w:rPr>
                      <w:i/>
                      <w:sz w:val="20"/>
                    </w:rPr>
                  </w:pPr>
                </w:p>
              </w:tc>
              <w:tc>
                <w:tcPr>
                  <w:tcW w:w="2268" w:type="dxa"/>
                </w:tcPr>
                <w:p w14:paraId="162225C4"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370F89E6" w14:textId="53BE0B64" w:rsidR="00346840" w:rsidRDefault="0074519E" w:rsidP="00A2483D">
                  <w:pPr>
                    <w:pStyle w:val="NoSpacing"/>
                    <w:jc w:val="right"/>
                    <w:rPr>
                      <w:i/>
                      <w:sz w:val="20"/>
                    </w:rPr>
                  </w:pPr>
                  <w:r>
                    <w:rPr>
                      <w:i/>
                      <w:sz w:val="20"/>
                    </w:rPr>
                    <w:t>X</w:t>
                  </w:r>
                </w:p>
              </w:tc>
              <w:tc>
                <w:tcPr>
                  <w:tcW w:w="2002" w:type="dxa"/>
                </w:tcPr>
                <w:p w14:paraId="6A2A1125" w14:textId="77777777" w:rsidR="00346840" w:rsidRDefault="00346840" w:rsidP="00A2483D">
                  <w:pPr>
                    <w:pStyle w:val="NoSpacing"/>
                    <w:jc w:val="right"/>
                    <w:rPr>
                      <w:i/>
                      <w:sz w:val="20"/>
                    </w:rPr>
                  </w:pPr>
                  <w:r>
                    <w:rPr>
                      <w:i/>
                      <w:sz w:val="20"/>
                    </w:rPr>
                    <w:t>Unacceptable</w:t>
                  </w:r>
                </w:p>
              </w:tc>
              <w:tc>
                <w:tcPr>
                  <w:tcW w:w="408" w:type="dxa"/>
                  <w:shd w:val="clear" w:color="auto" w:fill="DBE5F1" w:themeFill="accent1" w:themeFillTint="33"/>
                </w:tcPr>
                <w:p w14:paraId="6AE0BB6A" w14:textId="77777777" w:rsidR="00346840" w:rsidRDefault="00346840" w:rsidP="00A2483D">
                  <w:pPr>
                    <w:pStyle w:val="NoSpacing"/>
                    <w:rPr>
                      <w:i/>
                      <w:sz w:val="20"/>
                    </w:rPr>
                  </w:pPr>
                </w:p>
              </w:tc>
            </w:tr>
          </w:tbl>
          <w:p w14:paraId="14DFA575" w14:textId="77777777" w:rsidR="00346840" w:rsidRDefault="00346840" w:rsidP="00A2483D">
            <w:pPr>
              <w:pStyle w:val="NoSpacing"/>
              <w:rPr>
                <w:i/>
                <w:sz w:val="20"/>
              </w:rPr>
            </w:pPr>
          </w:p>
          <w:p w14:paraId="62DB3632" w14:textId="77777777" w:rsidR="00346840" w:rsidRDefault="00346840" w:rsidP="00A2483D">
            <w:pPr>
              <w:pStyle w:val="NoSpacing"/>
              <w:rPr>
                <w:sz w:val="20"/>
              </w:rPr>
            </w:pPr>
            <w:r w:rsidRPr="00C856F5">
              <w:rPr>
                <w:i/>
                <w:sz w:val="20"/>
              </w:rPr>
              <w:t>Rationale</w:t>
            </w:r>
            <w:r>
              <w:rPr>
                <w:sz w:val="20"/>
              </w:rPr>
              <w:t>:</w:t>
            </w:r>
          </w:p>
          <w:p w14:paraId="52B77A7C" w14:textId="5D1D6A1C" w:rsidR="00346840" w:rsidRDefault="00D52FD2" w:rsidP="00A47ABD">
            <w:pPr>
              <w:pStyle w:val="NoSpacing"/>
            </w:pPr>
            <w:r w:rsidRPr="005A0032">
              <w:t xml:space="preserve">There could be some resistance </w:t>
            </w:r>
            <w:r w:rsidR="00A47ABD">
              <w:t xml:space="preserve">from </w:t>
            </w:r>
            <w:r w:rsidR="00A47ABD" w:rsidRPr="005A0032">
              <w:rPr>
                <w:szCs w:val="20"/>
              </w:rPr>
              <w:t xml:space="preserve">ship </w:t>
            </w:r>
            <w:r w:rsidR="00A47ABD">
              <w:rPr>
                <w:szCs w:val="20"/>
              </w:rPr>
              <w:t xml:space="preserve">owners or </w:t>
            </w:r>
            <w:r w:rsidR="00A47ABD" w:rsidRPr="005A0032">
              <w:rPr>
                <w:szCs w:val="20"/>
              </w:rPr>
              <w:t>companies</w:t>
            </w:r>
            <w:r w:rsidR="00A47ABD" w:rsidRPr="005A0032">
              <w:t xml:space="preserve"> </w:t>
            </w:r>
            <w:r w:rsidR="00A47ABD">
              <w:t>due to</w:t>
            </w:r>
            <w:r w:rsidR="00A47ABD" w:rsidRPr="005A0032">
              <w:t xml:space="preserve"> </w:t>
            </w:r>
            <w:r w:rsidRPr="005A0032">
              <w:t xml:space="preserve">the cost </w:t>
            </w:r>
            <w:r w:rsidR="004943BD">
              <w:t xml:space="preserve">and type </w:t>
            </w:r>
            <w:r w:rsidRPr="005A0032">
              <w:t>of systems to be applied on the ship (</w:t>
            </w:r>
            <w:r w:rsidR="00813054">
              <w:t xml:space="preserve">e.g. </w:t>
            </w:r>
            <w:r w:rsidRPr="005A0032">
              <w:t xml:space="preserve">chemical </w:t>
            </w:r>
            <w:r w:rsidR="00813054">
              <w:t xml:space="preserve">methods, </w:t>
            </w:r>
            <w:r w:rsidRPr="005A0032">
              <w:t>even if more effective</w:t>
            </w:r>
            <w:r w:rsidR="00813054">
              <w:t>,</w:t>
            </w:r>
            <w:r w:rsidRPr="005A0032">
              <w:t xml:space="preserve"> could elicit some health issue concern for people w</w:t>
            </w:r>
            <w:r w:rsidR="00BC7F8E" w:rsidRPr="005A0032">
              <w:t xml:space="preserve">orking on the </w:t>
            </w:r>
            <w:r w:rsidR="0050300B" w:rsidRPr="005A0032">
              <w:t>ship</w:t>
            </w:r>
            <w:r w:rsidR="00BC7F8E" w:rsidRPr="005A0032">
              <w:t>).</w:t>
            </w:r>
          </w:p>
          <w:p w14:paraId="0EBAFAF4" w14:textId="5C200047" w:rsidR="00A47ABD" w:rsidRPr="00C75EDD" w:rsidRDefault="00A47ABD" w:rsidP="00A47ABD">
            <w:pPr>
              <w:pStyle w:val="NoSpacing"/>
              <w:rPr>
                <w:sz w:val="20"/>
              </w:rPr>
            </w:pPr>
          </w:p>
        </w:tc>
      </w:tr>
      <w:tr w:rsidR="00346840" w14:paraId="719A52A6" w14:textId="77777777" w:rsidTr="00A2483D">
        <w:tc>
          <w:tcPr>
            <w:tcW w:w="3295" w:type="dxa"/>
            <w:shd w:val="clear" w:color="auto" w:fill="DBE5F1" w:themeFill="accent1" w:themeFillTint="33"/>
          </w:tcPr>
          <w:p w14:paraId="6C24BD71" w14:textId="77777777" w:rsidR="00346840" w:rsidRPr="0039672E" w:rsidRDefault="00346840" w:rsidP="00A2483D">
            <w:pPr>
              <w:pStyle w:val="NoSpacing"/>
              <w:rPr>
                <w:b/>
              </w:rPr>
            </w:pPr>
            <w:r w:rsidRPr="0039672E">
              <w:rPr>
                <w:b/>
              </w:rPr>
              <w:t>Additional cost information</w:t>
            </w:r>
            <w:r>
              <w:rPr>
                <w:b/>
              </w:rPr>
              <w:t xml:space="preserve"> </w:t>
            </w:r>
            <w:r>
              <w:rPr>
                <w:b/>
                <w:vertAlign w:val="superscript"/>
              </w:rPr>
              <w:t>1</w:t>
            </w:r>
          </w:p>
          <w:p w14:paraId="58847F00" w14:textId="77777777" w:rsidR="00346840" w:rsidRDefault="00346840" w:rsidP="00A2483D">
            <w:pPr>
              <w:rPr>
                <w:sz w:val="20"/>
              </w:rPr>
            </w:pPr>
            <w:r>
              <w:rPr>
                <w:sz w:val="20"/>
              </w:rPr>
              <w:t xml:space="preserve">When not already included above, or in the species Risk Assessment. </w:t>
            </w:r>
          </w:p>
          <w:p w14:paraId="6E091304" w14:textId="77777777" w:rsidR="00346840" w:rsidRPr="00E662A4" w:rsidRDefault="00346840" w:rsidP="00A2483D">
            <w:pPr>
              <w:rPr>
                <w:sz w:val="20"/>
              </w:rPr>
            </w:pPr>
            <w:r>
              <w:rPr>
                <w:sz w:val="20"/>
              </w:rPr>
              <w:lastRenderedPageBreak/>
              <w:t xml:space="preserve">- </w:t>
            </w:r>
            <w:r w:rsidRPr="00E662A4">
              <w:rPr>
                <w:sz w:val="20"/>
              </w:rPr>
              <w:t>implementation cost for Member States</w:t>
            </w:r>
          </w:p>
          <w:p w14:paraId="6D2B6F7F" w14:textId="77777777" w:rsidR="00346840" w:rsidRPr="00E662A4" w:rsidRDefault="00346840" w:rsidP="00A2483D">
            <w:pPr>
              <w:rPr>
                <w:sz w:val="20"/>
              </w:rPr>
            </w:pPr>
            <w:r>
              <w:rPr>
                <w:sz w:val="20"/>
              </w:rPr>
              <w:t xml:space="preserve">- </w:t>
            </w:r>
            <w:r w:rsidRPr="00E662A4">
              <w:rPr>
                <w:sz w:val="20"/>
              </w:rPr>
              <w:t>the cost of inaction</w:t>
            </w:r>
          </w:p>
          <w:p w14:paraId="36613C78" w14:textId="77777777" w:rsidR="00346840" w:rsidRPr="00E662A4" w:rsidRDefault="00346840" w:rsidP="00A2483D">
            <w:pPr>
              <w:rPr>
                <w:sz w:val="20"/>
              </w:rPr>
            </w:pPr>
            <w:r>
              <w:rPr>
                <w:sz w:val="20"/>
              </w:rPr>
              <w:t xml:space="preserve">- </w:t>
            </w:r>
            <w:r w:rsidRPr="00E662A4">
              <w:rPr>
                <w:sz w:val="20"/>
              </w:rPr>
              <w:t>the cost-effectiveness</w:t>
            </w:r>
          </w:p>
          <w:p w14:paraId="60829C2E" w14:textId="77777777" w:rsidR="00346840" w:rsidRDefault="00346840" w:rsidP="00A2483D">
            <w:pPr>
              <w:pStyle w:val="NoSpacing"/>
              <w:rPr>
                <w:sz w:val="20"/>
              </w:rPr>
            </w:pPr>
            <w:r>
              <w:rPr>
                <w:sz w:val="20"/>
              </w:rPr>
              <w:t xml:space="preserve">- </w:t>
            </w:r>
            <w:r w:rsidRPr="00E662A4">
              <w:rPr>
                <w:sz w:val="20"/>
              </w:rPr>
              <w:t>the socio-economic aspects</w:t>
            </w:r>
          </w:p>
          <w:p w14:paraId="21B16FFC" w14:textId="77777777" w:rsidR="00DF71D6" w:rsidRDefault="00DF71D6" w:rsidP="00A2483D">
            <w:pPr>
              <w:pStyle w:val="NoSpacing"/>
              <w:rPr>
                <w:sz w:val="20"/>
              </w:rPr>
            </w:pPr>
          </w:p>
          <w:p w14:paraId="4B599FA2" w14:textId="62C459AF" w:rsidR="00FD0D4D" w:rsidRPr="002B6463" w:rsidRDefault="00FD0D4D" w:rsidP="00A2483D">
            <w:pPr>
              <w:pStyle w:val="NoSpacing"/>
              <w:rPr>
                <w:sz w:val="20"/>
              </w:rPr>
            </w:pPr>
            <w:r>
              <w:rPr>
                <w:sz w:val="20"/>
              </w:rPr>
              <w:t>Include quantitative &amp;/or qualitative data, and case studies (incl. from countries outside the EU).</w:t>
            </w:r>
          </w:p>
        </w:tc>
        <w:tc>
          <w:tcPr>
            <w:tcW w:w="10653" w:type="dxa"/>
          </w:tcPr>
          <w:p w14:paraId="484DF41A" w14:textId="08E91EFC" w:rsidR="00346840" w:rsidRDefault="00A44505" w:rsidP="00C426B1">
            <w:pPr>
              <w:pStyle w:val="NoSpacing"/>
              <w:rPr>
                <w:sz w:val="20"/>
              </w:rPr>
            </w:pPr>
            <w:r w:rsidRPr="005A0032">
              <w:lastRenderedPageBreak/>
              <w:t xml:space="preserve">The implementation cost </w:t>
            </w:r>
            <w:r w:rsidR="00C426B1">
              <w:t xml:space="preserve">for Member States </w:t>
            </w:r>
            <w:r w:rsidRPr="005A0032">
              <w:t xml:space="preserve">depends </w:t>
            </w:r>
            <w:r w:rsidR="00C426B1">
              <w:t>on</w:t>
            </w:r>
            <w:r w:rsidR="00C426B1" w:rsidRPr="005A0032">
              <w:t xml:space="preserve"> </w:t>
            </w:r>
            <w:r w:rsidRPr="005A0032">
              <w:t xml:space="preserve">the number of ships </w:t>
            </w:r>
            <w:r w:rsidR="00C426B1">
              <w:t xml:space="preserve">to be treated </w:t>
            </w:r>
            <w:r w:rsidRPr="005A0032">
              <w:t>and the adopted systems. Surely, the cost of inaction would be higher</w:t>
            </w:r>
            <w:r w:rsidR="00C426B1">
              <w:t>,</w:t>
            </w:r>
            <w:r w:rsidRPr="005A0032">
              <w:t xml:space="preserve"> as new potential invasive species will continue to arrive</w:t>
            </w:r>
            <w:r w:rsidR="00C426B1">
              <w:t xml:space="preserve"> and need to be managed</w:t>
            </w:r>
            <w:r w:rsidRPr="005A0032">
              <w:t xml:space="preserve">. </w:t>
            </w:r>
          </w:p>
        </w:tc>
      </w:tr>
      <w:tr w:rsidR="00346840" w14:paraId="39806816" w14:textId="77777777" w:rsidTr="00A2483D">
        <w:tc>
          <w:tcPr>
            <w:tcW w:w="3295" w:type="dxa"/>
            <w:tcBorders>
              <w:bottom w:val="single" w:sz="4" w:space="0" w:color="auto"/>
            </w:tcBorders>
            <w:shd w:val="clear" w:color="auto" w:fill="DBE5F1" w:themeFill="accent1" w:themeFillTint="33"/>
          </w:tcPr>
          <w:p w14:paraId="6F8B6C65" w14:textId="77777777" w:rsidR="00C81F1E" w:rsidRDefault="00C81F1E" w:rsidP="00C81F1E">
            <w:pPr>
              <w:pStyle w:val="NoSpacing"/>
              <w:rPr>
                <w:b/>
              </w:rPr>
            </w:pPr>
            <w:r w:rsidRPr="002B6463">
              <w:rPr>
                <w:b/>
              </w:rPr>
              <w:t>Level of confidence</w:t>
            </w:r>
            <w:r>
              <w:rPr>
                <w:b/>
              </w:rPr>
              <w:t xml:space="preserve"> on the information provided </w:t>
            </w:r>
            <w:r>
              <w:rPr>
                <w:b/>
                <w:vertAlign w:val="superscript"/>
              </w:rPr>
              <w:t>2</w:t>
            </w:r>
          </w:p>
          <w:p w14:paraId="359F2BDB" w14:textId="77777777" w:rsidR="00C81F1E" w:rsidRPr="00DE32F5" w:rsidRDefault="00C81F1E" w:rsidP="00C81F1E">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2376F861" w14:textId="36625111" w:rsidR="00346840" w:rsidRDefault="00C81F1E" w:rsidP="00C81F1E">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C81F1E" w14:paraId="7654BA1B" w14:textId="77777777" w:rsidTr="00DD2E1F">
              <w:tc>
                <w:tcPr>
                  <w:tcW w:w="2024" w:type="dxa"/>
                </w:tcPr>
                <w:p w14:paraId="73CC6CD9" w14:textId="77777777" w:rsidR="00C81F1E" w:rsidRPr="007C64EE" w:rsidRDefault="00C81F1E" w:rsidP="00C81F1E">
                  <w:pPr>
                    <w:pStyle w:val="NoSpacing"/>
                    <w:rPr>
                      <w:i/>
                      <w:sz w:val="20"/>
                    </w:rPr>
                  </w:pPr>
                  <w:r>
                    <w:rPr>
                      <w:i/>
                      <w:sz w:val="20"/>
                    </w:rPr>
                    <w:t>Inconclusive</w:t>
                  </w:r>
                </w:p>
              </w:tc>
              <w:tc>
                <w:tcPr>
                  <w:tcW w:w="375" w:type="dxa"/>
                  <w:shd w:val="clear" w:color="auto" w:fill="DBE5F1" w:themeFill="accent1" w:themeFillTint="33"/>
                </w:tcPr>
                <w:p w14:paraId="0478B114" w14:textId="77777777" w:rsidR="00C81F1E" w:rsidRDefault="00C81F1E" w:rsidP="00C81F1E">
                  <w:pPr>
                    <w:pStyle w:val="NoSpacing"/>
                    <w:jc w:val="right"/>
                    <w:rPr>
                      <w:i/>
                      <w:sz w:val="20"/>
                    </w:rPr>
                  </w:pPr>
                </w:p>
              </w:tc>
              <w:tc>
                <w:tcPr>
                  <w:tcW w:w="1559" w:type="dxa"/>
                </w:tcPr>
                <w:p w14:paraId="252E03A4" w14:textId="77777777" w:rsidR="00C81F1E" w:rsidRDefault="00C81F1E" w:rsidP="00C81F1E">
                  <w:pPr>
                    <w:pStyle w:val="NoSpacing"/>
                    <w:jc w:val="right"/>
                    <w:rPr>
                      <w:i/>
                      <w:sz w:val="20"/>
                    </w:rPr>
                  </w:pPr>
                  <w:r>
                    <w:rPr>
                      <w:i/>
                      <w:sz w:val="20"/>
                    </w:rPr>
                    <w:t>Unresolved</w:t>
                  </w:r>
                </w:p>
              </w:tc>
              <w:tc>
                <w:tcPr>
                  <w:tcW w:w="426" w:type="dxa"/>
                  <w:shd w:val="clear" w:color="auto" w:fill="DBE5F1" w:themeFill="accent1" w:themeFillTint="33"/>
                </w:tcPr>
                <w:p w14:paraId="714E66F8" w14:textId="77777777" w:rsidR="00C81F1E" w:rsidRDefault="00C81F1E" w:rsidP="00C81F1E">
                  <w:pPr>
                    <w:pStyle w:val="NoSpacing"/>
                    <w:jc w:val="right"/>
                    <w:rPr>
                      <w:i/>
                      <w:sz w:val="20"/>
                    </w:rPr>
                  </w:pPr>
                </w:p>
              </w:tc>
              <w:tc>
                <w:tcPr>
                  <w:tcW w:w="2126" w:type="dxa"/>
                </w:tcPr>
                <w:p w14:paraId="67D1215E" w14:textId="77777777" w:rsidR="00C81F1E" w:rsidRDefault="00C81F1E" w:rsidP="00C81F1E">
                  <w:pPr>
                    <w:pStyle w:val="NoSpacing"/>
                    <w:jc w:val="right"/>
                    <w:rPr>
                      <w:i/>
                      <w:sz w:val="20"/>
                    </w:rPr>
                  </w:pPr>
                  <w:r>
                    <w:rPr>
                      <w:i/>
                      <w:sz w:val="20"/>
                    </w:rPr>
                    <w:t>Established but incomplete</w:t>
                  </w:r>
                </w:p>
              </w:tc>
              <w:tc>
                <w:tcPr>
                  <w:tcW w:w="425" w:type="dxa"/>
                  <w:shd w:val="clear" w:color="auto" w:fill="DBE5F1" w:themeFill="accent1" w:themeFillTint="33"/>
                </w:tcPr>
                <w:p w14:paraId="5CF9F4EE" w14:textId="2369F621" w:rsidR="00C81F1E" w:rsidRDefault="003B742C" w:rsidP="00C81F1E">
                  <w:pPr>
                    <w:pStyle w:val="NoSpacing"/>
                    <w:jc w:val="right"/>
                    <w:rPr>
                      <w:i/>
                      <w:sz w:val="20"/>
                    </w:rPr>
                  </w:pPr>
                  <w:r>
                    <w:rPr>
                      <w:i/>
                      <w:sz w:val="20"/>
                    </w:rPr>
                    <w:t>X</w:t>
                  </w:r>
                </w:p>
              </w:tc>
              <w:tc>
                <w:tcPr>
                  <w:tcW w:w="2268" w:type="dxa"/>
                </w:tcPr>
                <w:p w14:paraId="7C3629DF" w14:textId="77777777" w:rsidR="00C81F1E" w:rsidRDefault="00C81F1E" w:rsidP="00C81F1E">
                  <w:pPr>
                    <w:pStyle w:val="NoSpacing"/>
                    <w:jc w:val="right"/>
                    <w:rPr>
                      <w:i/>
                      <w:sz w:val="20"/>
                    </w:rPr>
                  </w:pPr>
                  <w:r>
                    <w:rPr>
                      <w:i/>
                      <w:sz w:val="20"/>
                    </w:rPr>
                    <w:t>Well established</w:t>
                  </w:r>
                </w:p>
              </w:tc>
              <w:tc>
                <w:tcPr>
                  <w:tcW w:w="425" w:type="dxa"/>
                  <w:shd w:val="clear" w:color="auto" w:fill="DBE5F1" w:themeFill="accent1" w:themeFillTint="33"/>
                </w:tcPr>
                <w:p w14:paraId="44F140EE" w14:textId="3314221C" w:rsidR="00C81F1E" w:rsidRDefault="00C81F1E" w:rsidP="00C81F1E">
                  <w:pPr>
                    <w:pStyle w:val="NoSpacing"/>
                    <w:rPr>
                      <w:i/>
                      <w:sz w:val="20"/>
                    </w:rPr>
                  </w:pPr>
                </w:p>
              </w:tc>
            </w:tr>
          </w:tbl>
          <w:p w14:paraId="2B74A13C" w14:textId="77777777" w:rsidR="00C81F1E" w:rsidRDefault="00C81F1E" w:rsidP="00C81F1E">
            <w:pPr>
              <w:pStyle w:val="NoSpacing"/>
              <w:rPr>
                <w:i/>
                <w:sz w:val="20"/>
              </w:rPr>
            </w:pPr>
          </w:p>
          <w:p w14:paraId="345A455A" w14:textId="77777777" w:rsidR="00C81F1E" w:rsidRDefault="00C81F1E" w:rsidP="00C81F1E">
            <w:pPr>
              <w:pStyle w:val="NoSpacing"/>
              <w:rPr>
                <w:sz w:val="20"/>
              </w:rPr>
            </w:pPr>
            <w:r w:rsidRPr="00C856F5">
              <w:rPr>
                <w:i/>
                <w:sz w:val="20"/>
              </w:rPr>
              <w:t>Rationale</w:t>
            </w:r>
            <w:r>
              <w:rPr>
                <w:sz w:val="20"/>
              </w:rPr>
              <w:t>:</w:t>
            </w:r>
          </w:p>
          <w:p w14:paraId="2623765C" w14:textId="72566364" w:rsidR="00346840" w:rsidRPr="00C51F64" w:rsidRDefault="00C51F64" w:rsidP="0035324E">
            <w:pPr>
              <w:pStyle w:val="NoSpacing"/>
              <w:rPr>
                <w:sz w:val="20"/>
                <w:szCs w:val="20"/>
              </w:rPr>
            </w:pPr>
            <w:r w:rsidRPr="005A0032">
              <w:rPr>
                <w:szCs w:val="20"/>
              </w:rPr>
              <w:t>Different studies and recent reviews agree on BWM importance, even if they recogni</w:t>
            </w:r>
            <w:r w:rsidR="0035324E">
              <w:rPr>
                <w:szCs w:val="20"/>
              </w:rPr>
              <w:t>s</w:t>
            </w:r>
            <w:r w:rsidRPr="005A0032">
              <w:rPr>
                <w:szCs w:val="20"/>
              </w:rPr>
              <w:t xml:space="preserve">e </w:t>
            </w:r>
            <w:r w:rsidR="00BE1864" w:rsidRPr="005A0032">
              <w:rPr>
                <w:szCs w:val="20"/>
              </w:rPr>
              <w:t>the weak points</w:t>
            </w:r>
            <w:r w:rsidR="0035324E">
              <w:rPr>
                <w:szCs w:val="20"/>
              </w:rPr>
              <w:t xml:space="preserve"> of this measure</w:t>
            </w:r>
            <w:r w:rsidR="00BE1864" w:rsidRPr="005A0032">
              <w:rPr>
                <w:szCs w:val="20"/>
              </w:rPr>
              <w:t xml:space="preserve">. </w:t>
            </w:r>
            <w:r w:rsidR="003B742C" w:rsidRPr="005A0032">
              <w:rPr>
                <w:szCs w:val="20"/>
              </w:rPr>
              <w:t xml:space="preserve">There are no specific studies on </w:t>
            </w:r>
            <w:r w:rsidR="001A0096" w:rsidRPr="005A0032">
              <w:rPr>
                <w:szCs w:val="20"/>
              </w:rPr>
              <w:t xml:space="preserve">effectiveness of </w:t>
            </w:r>
            <w:r w:rsidR="003B742C" w:rsidRPr="005A0032">
              <w:rPr>
                <w:szCs w:val="20"/>
              </w:rPr>
              <w:t>preventi</w:t>
            </w:r>
            <w:r w:rsidR="001A0096" w:rsidRPr="005A0032">
              <w:rPr>
                <w:szCs w:val="20"/>
              </w:rPr>
              <w:t>on</w:t>
            </w:r>
            <w:r w:rsidR="003B742C" w:rsidRPr="005A0032">
              <w:rPr>
                <w:szCs w:val="20"/>
              </w:rPr>
              <w:t xml:space="preserve"> </w:t>
            </w:r>
            <w:r w:rsidR="0035324E">
              <w:rPr>
                <w:szCs w:val="20"/>
              </w:rPr>
              <w:t xml:space="preserve">of unintentional introductions </w:t>
            </w:r>
            <w:r w:rsidR="001A0096" w:rsidRPr="005A0032">
              <w:rPr>
                <w:szCs w:val="20"/>
              </w:rPr>
              <w:t xml:space="preserve">for </w:t>
            </w:r>
            <w:r w:rsidR="001738DC" w:rsidRPr="005A0032">
              <w:rPr>
                <w:szCs w:val="20"/>
              </w:rPr>
              <w:t>Chinese mitten crab</w:t>
            </w:r>
            <w:r w:rsidR="00000DC1" w:rsidRPr="005A0032">
              <w:rPr>
                <w:szCs w:val="20"/>
              </w:rPr>
              <w:t xml:space="preserve"> by BWM.</w:t>
            </w:r>
          </w:p>
        </w:tc>
      </w:tr>
      <w:bookmarkEnd w:id="0"/>
    </w:tbl>
    <w:p w14:paraId="44A5798D" w14:textId="024F373C" w:rsidR="00A430C4" w:rsidRDefault="00A430C4"/>
    <w:p w14:paraId="3406AC0D" w14:textId="77777777" w:rsidR="00575640" w:rsidRDefault="00575640"/>
    <w:tbl>
      <w:tblPr>
        <w:tblStyle w:val="TableGrid"/>
        <w:tblW w:w="0" w:type="auto"/>
        <w:tblLook w:val="04A0" w:firstRow="1" w:lastRow="0" w:firstColumn="1" w:lastColumn="0" w:noHBand="0" w:noVBand="1"/>
      </w:tblPr>
      <w:tblGrid>
        <w:gridCol w:w="3295"/>
        <w:gridCol w:w="10653"/>
      </w:tblGrid>
      <w:tr w:rsidR="004E3ADA" w14:paraId="307E7DD5" w14:textId="77777777" w:rsidTr="001009AE">
        <w:tc>
          <w:tcPr>
            <w:tcW w:w="13948" w:type="dxa"/>
            <w:gridSpan w:val="2"/>
            <w:shd w:val="clear" w:color="auto" w:fill="4F81BD" w:themeFill="accent1"/>
          </w:tcPr>
          <w:p w14:paraId="46E09344" w14:textId="77777777" w:rsidR="004E3ADA" w:rsidRPr="00346840" w:rsidRDefault="004E3ADA" w:rsidP="001009AE">
            <w:pPr>
              <w:pStyle w:val="NoSpacing"/>
              <w:rPr>
                <w:rFonts w:cstheme="minorHAnsi"/>
                <w:b/>
                <w:sz w:val="20"/>
                <w:szCs w:val="24"/>
              </w:rPr>
            </w:pPr>
            <w:r>
              <w:rPr>
                <w:rFonts w:eastAsia="Times New Roman"/>
                <w:b/>
                <w:sz w:val="28"/>
              </w:rPr>
              <w:t xml:space="preserve">Prevention of </w:t>
            </w:r>
            <w:r w:rsidRPr="00346840">
              <w:rPr>
                <w:rFonts w:eastAsia="Times New Roman"/>
                <w:b/>
                <w:sz w:val="28"/>
                <w:u w:val="single"/>
              </w:rPr>
              <w:t>un-intentional</w:t>
            </w:r>
            <w:r>
              <w:rPr>
                <w:rFonts w:eastAsia="Times New Roman"/>
                <w:b/>
                <w:sz w:val="28"/>
              </w:rPr>
              <w:t xml:space="preserve"> introductions and spread </w:t>
            </w:r>
            <w:r>
              <w:rPr>
                <w:rFonts w:cstheme="minorHAnsi"/>
                <w:sz w:val="20"/>
                <w:szCs w:val="20"/>
              </w:rPr>
              <w:t>– measures for preventing the species being introduced un-intentionally (cf. Article 13 of the IAS Regulation</w:t>
            </w:r>
            <w:r w:rsidRPr="00280410">
              <w:rPr>
                <w:rFonts w:cstheme="minorHAnsi"/>
                <w:sz w:val="20"/>
                <w:szCs w:val="20"/>
              </w:rPr>
              <w:t>)</w:t>
            </w:r>
            <w:r>
              <w:rPr>
                <w:rFonts w:cstheme="minorHAnsi"/>
                <w:sz w:val="20"/>
                <w:szCs w:val="20"/>
              </w:rPr>
              <w:t>.</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 xml:space="preserve">is repeated for each of the </w:t>
            </w:r>
            <w:r w:rsidRPr="00280410">
              <w:rPr>
                <w:rFonts w:cstheme="minorHAnsi"/>
                <w:b/>
                <w:sz w:val="20"/>
                <w:szCs w:val="24"/>
              </w:rPr>
              <w:t>prevention measures</w:t>
            </w:r>
            <w:r>
              <w:rPr>
                <w:rFonts w:cstheme="minorHAnsi"/>
                <w:b/>
                <w:sz w:val="20"/>
                <w:szCs w:val="24"/>
              </w:rPr>
              <w:t xml:space="preserve"> identified</w:t>
            </w:r>
            <w:r w:rsidRPr="00280410">
              <w:rPr>
                <w:rFonts w:cstheme="minorHAnsi"/>
                <w:b/>
                <w:sz w:val="20"/>
                <w:szCs w:val="24"/>
              </w:rPr>
              <w:t>.</w:t>
            </w:r>
          </w:p>
        </w:tc>
      </w:tr>
      <w:tr w:rsidR="004E3ADA" w14:paraId="75C37FC7" w14:textId="77777777" w:rsidTr="001009AE">
        <w:trPr>
          <w:trHeight w:val="517"/>
        </w:trPr>
        <w:tc>
          <w:tcPr>
            <w:tcW w:w="3295" w:type="dxa"/>
            <w:tcBorders>
              <w:bottom w:val="single" w:sz="4" w:space="0" w:color="auto"/>
            </w:tcBorders>
            <w:shd w:val="clear" w:color="auto" w:fill="DBE5F1" w:themeFill="accent1" w:themeFillTint="33"/>
          </w:tcPr>
          <w:p w14:paraId="7FAE1DF4" w14:textId="77777777" w:rsidR="004E3ADA" w:rsidRDefault="004E3ADA" w:rsidP="001009AE">
            <w:pPr>
              <w:pStyle w:val="NoSpacing"/>
              <w:rPr>
                <w:b/>
              </w:rPr>
            </w:pPr>
            <w:r>
              <w:rPr>
                <w:b/>
              </w:rPr>
              <w:t>Measure description</w:t>
            </w:r>
          </w:p>
          <w:p w14:paraId="55C02814" w14:textId="77777777" w:rsidR="004E3ADA" w:rsidRDefault="004E3ADA" w:rsidP="001009AE">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p w14:paraId="47CE6CA5" w14:textId="77777777" w:rsidR="004E3ADA" w:rsidRPr="002B6463" w:rsidRDefault="004E3ADA" w:rsidP="001009AE">
            <w:pPr>
              <w:pStyle w:val="NoSpacing"/>
              <w:rPr>
                <w:b/>
                <w:sz w:val="28"/>
              </w:rPr>
            </w:pPr>
          </w:p>
        </w:tc>
        <w:tc>
          <w:tcPr>
            <w:tcW w:w="10653" w:type="dxa"/>
            <w:tcBorders>
              <w:bottom w:val="single" w:sz="4" w:space="0" w:color="auto"/>
            </w:tcBorders>
          </w:tcPr>
          <w:p w14:paraId="552AC690" w14:textId="03C7B6C8" w:rsidR="004E3ADA" w:rsidRPr="005A0032" w:rsidRDefault="00807AD2" w:rsidP="001009AE">
            <w:pPr>
              <w:rPr>
                <w:b/>
              </w:rPr>
            </w:pPr>
            <w:r>
              <w:rPr>
                <w:b/>
              </w:rPr>
              <w:t>Biofouling management</w:t>
            </w:r>
          </w:p>
          <w:p w14:paraId="65106D3C" w14:textId="77777777" w:rsidR="004E3ADA" w:rsidRPr="005A0032" w:rsidRDefault="004E3ADA" w:rsidP="001009AE"/>
          <w:p w14:paraId="0FB6CB15" w14:textId="77777777" w:rsidR="004B054C" w:rsidRDefault="00FC31A8" w:rsidP="009141AA">
            <w:r w:rsidRPr="00FC31A8">
              <w:t xml:space="preserve">The </w:t>
            </w:r>
            <w:r>
              <w:t xml:space="preserve">species can </w:t>
            </w:r>
            <w:r w:rsidR="00C71D85">
              <w:t xml:space="preserve">also </w:t>
            </w:r>
            <w:r>
              <w:t>be unintentionall</w:t>
            </w:r>
            <w:r w:rsidR="00CF0AF6">
              <w:t>y</w:t>
            </w:r>
            <w:r>
              <w:t xml:space="preserve"> </w:t>
            </w:r>
            <w:r w:rsidRPr="00FC31A8">
              <w:t>introduced via hull fouling of vessels (</w:t>
            </w:r>
            <w:proofErr w:type="spellStart"/>
            <w:r w:rsidRPr="00FC31A8">
              <w:t>Gollasch</w:t>
            </w:r>
            <w:proofErr w:type="spellEnd"/>
            <w:r w:rsidR="00B71FF5">
              <w:t>,</w:t>
            </w:r>
            <w:r w:rsidRPr="00FC31A8">
              <w:t xml:space="preserve"> 20</w:t>
            </w:r>
            <w:r w:rsidR="00A86CF5">
              <w:t>11</w:t>
            </w:r>
            <w:r w:rsidRPr="00FC31A8">
              <w:t>).</w:t>
            </w:r>
            <w:r w:rsidR="00B71FF5">
              <w:t xml:space="preserve"> </w:t>
            </w:r>
            <w:r w:rsidRPr="00FC31A8">
              <w:t xml:space="preserve">Fouling communities on ships are </w:t>
            </w:r>
            <w:r w:rsidR="00B71FF5">
              <w:t>usually</w:t>
            </w:r>
            <w:r w:rsidRPr="00FC31A8">
              <w:t xml:space="preserve"> composed of sessile species</w:t>
            </w:r>
            <w:r w:rsidR="00B71FF5">
              <w:t>;</w:t>
            </w:r>
            <w:r w:rsidRPr="00FC31A8">
              <w:t xml:space="preserve"> however</w:t>
            </w:r>
            <w:r w:rsidR="00B71FF5">
              <w:t>,</w:t>
            </w:r>
            <w:r w:rsidRPr="00FC31A8">
              <w:t xml:space="preserve"> sometimes mobile species can </w:t>
            </w:r>
            <w:r w:rsidR="00F465F5">
              <w:t>be transported</w:t>
            </w:r>
            <w:r w:rsidR="00B71FF5">
              <w:t>: f</w:t>
            </w:r>
            <w:r w:rsidRPr="00FC31A8">
              <w:t xml:space="preserve">or example, specimens of </w:t>
            </w:r>
            <w:r w:rsidRPr="008930DB">
              <w:rPr>
                <w:i/>
                <w:iCs/>
              </w:rPr>
              <w:t>E. sinensis</w:t>
            </w:r>
            <w:r w:rsidRPr="00FC31A8">
              <w:t xml:space="preserve"> have been reported in empty cirriped shells on ship hulls.</w:t>
            </w:r>
            <w:r w:rsidR="00D5112A">
              <w:t xml:space="preserve"> </w:t>
            </w:r>
          </w:p>
          <w:p w14:paraId="61EE1DED" w14:textId="16E0C24F" w:rsidR="006813C5" w:rsidRDefault="00F465F5" w:rsidP="009141AA">
            <w:r>
              <w:t>I</w:t>
            </w:r>
            <w:r w:rsidRPr="00A86CF5">
              <w:t>n July 2011</w:t>
            </w:r>
            <w:r>
              <w:t>,</w:t>
            </w:r>
            <w:r w:rsidRPr="00A86CF5">
              <w:t xml:space="preserve"> </w:t>
            </w:r>
            <w:r>
              <w:t>after</w:t>
            </w:r>
            <w:r w:rsidRPr="00A86CF5">
              <w:t xml:space="preserve"> three years of consultation </w:t>
            </w:r>
            <w:r w:rsidR="00822455">
              <w:t>among</w:t>
            </w:r>
            <w:r w:rsidRPr="00A86CF5">
              <w:t xml:space="preserve"> I</w:t>
            </w:r>
            <w:r>
              <w:t>nternational Maritime Organization (I</w:t>
            </w:r>
            <w:r w:rsidRPr="00A86CF5">
              <w:t>MO</w:t>
            </w:r>
            <w:r>
              <w:t>)</w:t>
            </w:r>
            <w:r w:rsidRPr="00A86CF5">
              <w:t xml:space="preserve"> Member States</w:t>
            </w:r>
            <w:r>
              <w:t>, the</w:t>
            </w:r>
            <w:r w:rsidR="00A86CF5" w:rsidRPr="00A86CF5">
              <w:t xml:space="preserve"> Guidelines for the control and management of ships' biofouling to minimi</w:t>
            </w:r>
            <w:r w:rsidR="004B054C">
              <w:t>s</w:t>
            </w:r>
            <w:r w:rsidR="00A86CF5" w:rsidRPr="00A86CF5">
              <w:t xml:space="preserve">e the transfer of invasive aquatic species (Biofouling Guidelines) </w:t>
            </w:r>
            <w:r w:rsidRPr="00A86CF5">
              <w:t>were adopted by the Marine Environment Protection Committee (MEPC)</w:t>
            </w:r>
            <w:r>
              <w:t xml:space="preserve"> </w:t>
            </w:r>
            <w:r w:rsidR="00FC385B" w:rsidRPr="00A86CF5">
              <w:t>(resolution MEPC.207(62))</w:t>
            </w:r>
            <w:r w:rsidR="00FC385B">
              <w:rPr>
                <w:rStyle w:val="FootnoteReference"/>
              </w:rPr>
              <w:footnoteReference w:id="4"/>
            </w:r>
            <w:r w:rsidR="00FC385B">
              <w:t xml:space="preserve">. </w:t>
            </w:r>
            <w:r>
              <w:t xml:space="preserve">They </w:t>
            </w:r>
            <w:r w:rsidR="00A86CF5" w:rsidRPr="00A86CF5">
              <w:t>intend</w:t>
            </w:r>
            <w:r>
              <w:t xml:space="preserve"> </w:t>
            </w:r>
            <w:r w:rsidR="00A86CF5" w:rsidRPr="00A86CF5">
              <w:t>to provide a globally consistent approach to the management of biofouling</w:t>
            </w:r>
            <w:r w:rsidR="00D73652">
              <w:t xml:space="preserve"> and represent the first international action addressing ships’ biofouling with the goal to reduce the accumulation of </w:t>
            </w:r>
            <w:r w:rsidR="00D73652">
              <w:lastRenderedPageBreak/>
              <w:t xml:space="preserve">micro- and macro-organisms </w:t>
            </w:r>
            <w:r w:rsidR="00F575CF">
              <w:t xml:space="preserve">(not only the Chinese mitten crab) </w:t>
            </w:r>
            <w:r w:rsidR="00D73652">
              <w:t xml:space="preserve">on the outside of ships by choosing the appropriate coating, by conducting in-water inspections and cleaning, as well as proper removal during </w:t>
            </w:r>
            <w:r w:rsidR="00822455">
              <w:t>dry-docking</w:t>
            </w:r>
            <w:r w:rsidR="00A86CF5" w:rsidRPr="00A86CF5">
              <w:t xml:space="preserve">. </w:t>
            </w:r>
            <w:r w:rsidR="00DD2446">
              <w:t>According to this document, a</w:t>
            </w:r>
            <w:r w:rsidR="00DD2446" w:rsidRPr="00030F59">
              <w:t>nti-fouling systems</w:t>
            </w:r>
            <w:r w:rsidR="00DD2446">
              <w:t xml:space="preserve"> are considered</w:t>
            </w:r>
            <w:r w:rsidR="00DD2446" w:rsidRPr="00030F59">
              <w:t xml:space="preserve"> “a coating, paint, surface treatment, surface or device that is used on a ship to control or prevent attachment of unwanted organisms”</w:t>
            </w:r>
            <w:r w:rsidR="00DD2446" w:rsidRPr="00673B1B">
              <w:rPr>
                <w:vertAlign w:val="superscript"/>
              </w:rPr>
              <w:footnoteReference w:id="5"/>
            </w:r>
            <w:r w:rsidR="00DD2446">
              <w:t xml:space="preserve">. </w:t>
            </w:r>
            <w:r w:rsidR="00665A76" w:rsidRPr="00665A76">
              <w:t>Antifouling coating systems are broadly categori</w:t>
            </w:r>
            <w:r w:rsidR="004B054C">
              <w:t>s</w:t>
            </w:r>
            <w:r w:rsidR="00665A76" w:rsidRPr="00665A76">
              <w:t>ed as biocidal or non-biocidal</w:t>
            </w:r>
            <w:r w:rsidR="00665A76">
              <w:t>: the first p</w:t>
            </w:r>
            <w:r w:rsidR="00665A76" w:rsidRPr="00665A76">
              <w:t>revent the attachment and growth of biofouling organisms through the release of biocides, such as copper and zinc compounds</w:t>
            </w:r>
            <w:r w:rsidR="00665A76">
              <w:t>, with c</w:t>
            </w:r>
            <w:r w:rsidR="00665A76" w:rsidRPr="00665A76">
              <w:t xml:space="preserve">opper </w:t>
            </w:r>
            <w:r w:rsidR="00665A76">
              <w:t>being</w:t>
            </w:r>
            <w:r w:rsidR="00665A76" w:rsidRPr="00665A76">
              <w:t xml:space="preserve"> the most commonly used biocide</w:t>
            </w:r>
            <w:r w:rsidR="00665A76">
              <w:t xml:space="preserve">; the second </w:t>
            </w:r>
            <w:r w:rsidR="00665A76" w:rsidRPr="00665A76">
              <w:t>have physical properties to impair attachment (e.g. silicone-based fouling release coatings) or allow regular or abrasive cleaning with minimal effect on the surface</w:t>
            </w:r>
            <w:r w:rsidR="00665A76">
              <w:t xml:space="preserve"> (</w:t>
            </w:r>
            <w:proofErr w:type="spellStart"/>
            <w:r w:rsidR="00665A76">
              <w:t>Scianni</w:t>
            </w:r>
            <w:proofErr w:type="spellEnd"/>
            <w:r w:rsidR="00665A76">
              <w:t xml:space="preserve"> &amp; Georgiades, 2019). </w:t>
            </w:r>
            <w:r w:rsidR="00DD2446">
              <w:t xml:space="preserve">Ships are required to follow a biofouling management plan and to keep a record book. The guidelines also provide recommendations for the management of biofouling waste in land-based facilities. </w:t>
            </w:r>
          </w:p>
          <w:p w14:paraId="356A013E" w14:textId="47A2373A" w:rsidR="00B3460B" w:rsidRDefault="006813C5" w:rsidP="004B2BA8">
            <w:r>
              <w:t>Although t</w:t>
            </w:r>
            <w:r w:rsidR="00DD2446">
              <w:t>he guidelines are non-mandatory and not legally enforceable at a global level</w:t>
            </w:r>
            <w:r w:rsidR="00DC6001">
              <w:t xml:space="preserve"> (</w:t>
            </w:r>
            <w:proofErr w:type="spellStart"/>
            <w:r w:rsidR="00DC6001" w:rsidRPr="00DC6001">
              <w:t>Bouyssou</w:t>
            </w:r>
            <w:proofErr w:type="spellEnd"/>
            <w:r w:rsidR="00DC6001">
              <w:t xml:space="preserve"> &amp; </w:t>
            </w:r>
            <w:proofErr w:type="spellStart"/>
            <w:r w:rsidR="00DC6001" w:rsidRPr="00DC6001">
              <w:t>Madjidian</w:t>
            </w:r>
            <w:proofErr w:type="spellEnd"/>
            <w:r w:rsidR="00DC6001" w:rsidRPr="00DC6001">
              <w:t xml:space="preserve">, </w:t>
            </w:r>
            <w:r w:rsidR="00DC6001">
              <w:t>201</w:t>
            </w:r>
            <w:r w:rsidR="0020286E">
              <w:t>4</w:t>
            </w:r>
            <w:r w:rsidR="00DC6001">
              <w:t>)</w:t>
            </w:r>
            <w:r>
              <w:t>, they</w:t>
            </w:r>
            <w:r w:rsidR="009E4DBE">
              <w:t xml:space="preserve"> will be implemented by the </w:t>
            </w:r>
            <w:proofErr w:type="spellStart"/>
            <w:r w:rsidR="009E4DBE" w:rsidRPr="009E4DBE">
              <w:t>GloFouling</w:t>
            </w:r>
            <w:proofErr w:type="spellEnd"/>
            <w:r w:rsidR="009E4DBE" w:rsidRPr="009E4DBE">
              <w:t xml:space="preserve"> Partnerships Project</w:t>
            </w:r>
            <w:r w:rsidR="009E4DBE">
              <w:rPr>
                <w:rStyle w:val="FootnoteReference"/>
              </w:rPr>
              <w:footnoteReference w:id="6"/>
            </w:r>
            <w:r w:rsidR="009E4DBE">
              <w:t>, launched in December 2018</w:t>
            </w:r>
            <w:r w:rsidR="009141AA">
              <w:t>, because reliance on self-management with limited oversight and enforcement is insufficient for the vector’s control (Galil et al., 2019).</w:t>
            </w:r>
            <w:r w:rsidR="00FC4A11">
              <w:t xml:space="preserve"> </w:t>
            </w:r>
            <w:r w:rsidR="00DD2446">
              <w:t>It is</w:t>
            </w:r>
            <w:r w:rsidR="00F6408A">
              <w:t>,</w:t>
            </w:r>
            <w:r w:rsidR="00DD2446">
              <w:t xml:space="preserve"> however</w:t>
            </w:r>
            <w:r w:rsidR="00F6408A">
              <w:t>,</w:t>
            </w:r>
            <w:r w:rsidR="00DD2446">
              <w:t xml:space="preserve"> noteworthy that t</w:t>
            </w:r>
            <w:r w:rsidR="005339A4">
              <w:t>he application of antifouling coatings and the treatment of internal water systems are measures</w:t>
            </w:r>
            <w:r w:rsidR="00DD2446">
              <w:t xml:space="preserve"> </w:t>
            </w:r>
            <w:r w:rsidR="008D5E7C">
              <w:t xml:space="preserve">that </w:t>
            </w:r>
            <w:r w:rsidR="006551B2">
              <w:t xml:space="preserve">could </w:t>
            </w:r>
            <w:r w:rsidR="005339A4">
              <w:t>have been adopted by the shipping industry for reasons of fuel efficiency and vessel safety rather than preventing the spread of marine alien species (Art</w:t>
            </w:r>
            <w:r w:rsidR="00822455">
              <w:t>h</w:t>
            </w:r>
            <w:r w:rsidR="005339A4">
              <w:t>ur et al., 2015).</w:t>
            </w:r>
            <w:r w:rsidR="00665A76">
              <w:t xml:space="preserve"> In 2012, IMO also approved the Guidance for minimi</w:t>
            </w:r>
            <w:r>
              <w:t>s</w:t>
            </w:r>
            <w:r w:rsidR="00665A76">
              <w:t>ing the transfer of invasive aquatic species as biofouling for recreational craft</w:t>
            </w:r>
            <w:r w:rsidR="00665A76" w:rsidRPr="00673B1B">
              <w:rPr>
                <w:vertAlign w:val="superscript"/>
              </w:rPr>
              <w:footnoteReference w:id="7"/>
            </w:r>
            <w:r w:rsidR="00665A76">
              <w:t xml:space="preserve">. </w:t>
            </w:r>
          </w:p>
          <w:p w14:paraId="45583CD7" w14:textId="0F1CCA0F" w:rsidR="004B2BA8" w:rsidRDefault="004B2BA8" w:rsidP="004B2BA8">
            <w:r>
              <w:t>Recently, ICES underlined the necessity of adopting antibiofouling systems to mitigate alien species introduction</w:t>
            </w:r>
            <w:r w:rsidR="0057346B">
              <w:t>s</w:t>
            </w:r>
            <w:r>
              <w:t>. In particular, they stressed</w:t>
            </w:r>
            <w:r w:rsidR="006551B2">
              <w:t xml:space="preserve">: </w:t>
            </w:r>
            <w:r>
              <w:t>“Urgent implementation of the IMO generic guidelines for the control and management of biofouling on vessels, with new and more detailed guidelines</w:t>
            </w:r>
            <w:r w:rsidR="0057346B">
              <w:t>,</w:t>
            </w:r>
            <w:r>
              <w:t xml:space="preserve"> </w:t>
            </w:r>
            <w:r w:rsidR="0057346B">
              <w:t xml:space="preserve">should </w:t>
            </w:r>
            <w:r>
              <w:t>be developed for different vessel types; ship designs should aim to reduce the potential for biofouling; all vessels, whether recreational, domestic, decommissioned, derelict, or abandoned, should adhere to the same standard for the control and management of biofouling; performance measures should be implemented to assess management practice, in order to evaluate efficacy and guide adaptive management”</w:t>
            </w:r>
            <w:r w:rsidR="005E06EC">
              <w:rPr>
                <w:rStyle w:val="FootnoteReference"/>
              </w:rPr>
              <w:footnoteReference w:id="8"/>
            </w:r>
            <w:r>
              <w:t>.</w:t>
            </w:r>
          </w:p>
          <w:p w14:paraId="72ABA7C7" w14:textId="77777777" w:rsidR="001009AE" w:rsidRDefault="001009AE" w:rsidP="001009AE"/>
          <w:p w14:paraId="5F630BAB" w14:textId="7CA93109" w:rsidR="00B3460B" w:rsidRPr="00735ED1" w:rsidRDefault="001009AE" w:rsidP="00EB43EE">
            <w:pPr>
              <w:rPr>
                <w:sz w:val="20"/>
                <w:szCs w:val="20"/>
              </w:rPr>
            </w:pPr>
            <w:r>
              <w:t xml:space="preserve">This measure can </w:t>
            </w:r>
            <w:r w:rsidR="008839DE">
              <w:t xml:space="preserve">also </w:t>
            </w:r>
            <w:r>
              <w:t>be used for preventing secondary spread of the species</w:t>
            </w:r>
            <w:r w:rsidR="008839DE">
              <w:t xml:space="preserve"> (see table below)</w:t>
            </w:r>
            <w:r>
              <w:t xml:space="preserve">. </w:t>
            </w:r>
            <w:r w:rsidR="00EB43EE">
              <w:t>In that case, t</w:t>
            </w:r>
            <w:r w:rsidR="006311CD">
              <w:t>he European code of conduct on recreational boating and invasive alien species</w:t>
            </w:r>
            <w:r w:rsidR="006311CD">
              <w:rPr>
                <w:rStyle w:val="FootnoteReference"/>
              </w:rPr>
              <w:footnoteReference w:id="9"/>
            </w:r>
            <w:r w:rsidR="006311CD">
              <w:t xml:space="preserve"> should be implemented at </w:t>
            </w:r>
            <w:r w:rsidR="00EB43EE">
              <w:t xml:space="preserve">a </w:t>
            </w:r>
            <w:r w:rsidR="006311CD">
              <w:t>national level.</w:t>
            </w:r>
          </w:p>
        </w:tc>
      </w:tr>
      <w:tr w:rsidR="004E3ADA" w14:paraId="5D01B16F" w14:textId="77777777" w:rsidTr="001009AE">
        <w:trPr>
          <w:trHeight w:val="517"/>
        </w:trPr>
        <w:tc>
          <w:tcPr>
            <w:tcW w:w="3295" w:type="dxa"/>
            <w:tcBorders>
              <w:bottom w:val="single" w:sz="4" w:space="0" w:color="auto"/>
            </w:tcBorders>
            <w:shd w:val="clear" w:color="auto" w:fill="DBE5F1" w:themeFill="accent1" w:themeFillTint="33"/>
          </w:tcPr>
          <w:p w14:paraId="6809DB45" w14:textId="77777777" w:rsidR="004E3ADA" w:rsidRDefault="004E3ADA" w:rsidP="001009AE">
            <w:pPr>
              <w:pStyle w:val="NoSpacing"/>
              <w:rPr>
                <w:b/>
              </w:rPr>
            </w:pPr>
            <w:r>
              <w:rPr>
                <w:b/>
              </w:rPr>
              <w:lastRenderedPageBreak/>
              <w:t>Scale of application</w:t>
            </w:r>
          </w:p>
          <w:p w14:paraId="5D2DC825" w14:textId="77777777" w:rsidR="004E3ADA" w:rsidRPr="00DE32F5" w:rsidRDefault="004E3ADA" w:rsidP="001009AE">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tc>
        <w:tc>
          <w:tcPr>
            <w:tcW w:w="10653" w:type="dxa"/>
            <w:tcBorders>
              <w:bottom w:val="single" w:sz="4" w:space="0" w:color="auto"/>
            </w:tcBorders>
          </w:tcPr>
          <w:p w14:paraId="5DC80200" w14:textId="3B4FF7D8" w:rsidR="004E3ADA" w:rsidRPr="005A0032" w:rsidRDefault="00D5112A" w:rsidP="00D5112A">
            <w:r>
              <w:t>T</w:t>
            </w:r>
            <w:r w:rsidR="004E3ADA" w:rsidRPr="005A0032">
              <w:t xml:space="preserve">he scale of application </w:t>
            </w:r>
            <w:r w:rsidR="004E3ADA">
              <w:t xml:space="preserve">of this measure </w:t>
            </w:r>
            <w:r w:rsidR="004E3ADA" w:rsidRPr="005A0032">
              <w:t>should be</w:t>
            </w:r>
            <w:r w:rsidR="004E3ADA">
              <w:t xml:space="preserve"> at a national level and, ultimately, at a</w:t>
            </w:r>
            <w:r w:rsidR="002E7A33">
              <w:t>n</w:t>
            </w:r>
            <w:r w:rsidR="004E3ADA">
              <w:t xml:space="preserve"> EU level</w:t>
            </w:r>
            <w:r w:rsidR="004E3ADA" w:rsidRPr="005A0032">
              <w:t xml:space="preserve">. </w:t>
            </w:r>
          </w:p>
        </w:tc>
      </w:tr>
      <w:tr w:rsidR="004E3ADA" w:rsidRPr="002B6463" w14:paraId="4657486F" w14:textId="77777777" w:rsidTr="001009AE">
        <w:trPr>
          <w:trHeight w:val="2222"/>
        </w:trPr>
        <w:tc>
          <w:tcPr>
            <w:tcW w:w="3295" w:type="dxa"/>
            <w:tcBorders>
              <w:top w:val="single" w:sz="4" w:space="0" w:color="auto"/>
            </w:tcBorders>
            <w:shd w:val="clear" w:color="auto" w:fill="DBE5F1" w:themeFill="accent1" w:themeFillTint="33"/>
          </w:tcPr>
          <w:p w14:paraId="2500DDB2" w14:textId="77777777" w:rsidR="004E3ADA" w:rsidRPr="0039672E" w:rsidRDefault="004E3ADA" w:rsidP="001009AE">
            <w:pPr>
              <w:pStyle w:val="NoSpacing"/>
              <w:rPr>
                <w:b/>
              </w:rPr>
            </w:pPr>
            <w:r w:rsidRPr="0039672E">
              <w:rPr>
                <w:b/>
              </w:rPr>
              <w:t xml:space="preserve">Effectiveness of </w:t>
            </w:r>
            <w:r>
              <w:rPr>
                <w:b/>
              </w:rPr>
              <w:t xml:space="preserve">the </w:t>
            </w:r>
            <w:r w:rsidRPr="0039672E">
              <w:rPr>
                <w:b/>
              </w:rPr>
              <w:t>measure</w:t>
            </w:r>
          </w:p>
          <w:p w14:paraId="2D45BE7F" w14:textId="77777777" w:rsidR="004E3ADA" w:rsidRPr="0039672E" w:rsidRDefault="004E3ADA" w:rsidP="001009AE">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67A9D6E4" w14:textId="77777777" w:rsidR="004E3ADA" w:rsidRDefault="004E3ADA" w:rsidP="001009AE">
            <w:pPr>
              <w:pStyle w:val="NoSpacing"/>
              <w:rPr>
                <w:sz w:val="20"/>
              </w:rPr>
            </w:pPr>
          </w:p>
          <w:p w14:paraId="79A5D0FA" w14:textId="77777777" w:rsidR="004E3ADA" w:rsidRPr="00DE32F5" w:rsidRDefault="004E3ADA" w:rsidP="001009AE">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275"/>
              <w:gridCol w:w="426"/>
              <w:gridCol w:w="973"/>
              <w:gridCol w:w="425"/>
              <w:gridCol w:w="1295"/>
              <w:gridCol w:w="425"/>
              <w:gridCol w:w="1276"/>
              <w:gridCol w:w="425"/>
            </w:tblGrid>
            <w:tr w:rsidR="004E3ADA" w14:paraId="35325BE9" w14:textId="77777777" w:rsidTr="001009AE">
              <w:tc>
                <w:tcPr>
                  <w:tcW w:w="2116" w:type="dxa"/>
                </w:tcPr>
                <w:p w14:paraId="694EF317" w14:textId="77777777" w:rsidR="004E3ADA" w:rsidRPr="002E17F6" w:rsidRDefault="004E3ADA" w:rsidP="001009AE">
                  <w:pPr>
                    <w:pStyle w:val="NoSpacing"/>
                    <w:rPr>
                      <w:b/>
                      <w:i/>
                      <w:sz w:val="20"/>
                    </w:rPr>
                  </w:pPr>
                  <w:r>
                    <w:rPr>
                      <w:b/>
                      <w:i/>
                      <w:sz w:val="20"/>
                    </w:rPr>
                    <w:t>Effectiveness of measures</w:t>
                  </w:r>
                </w:p>
              </w:tc>
              <w:tc>
                <w:tcPr>
                  <w:tcW w:w="1275" w:type="dxa"/>
                </w:tcPr>
                <w:p w14:paraId="14D0A555" w14:textId="77777777" w:rsidR="004E3ADA" w:rsidRDefault="004E3ADA" w:rsidP="001009AE">
                  <w:pPr>
                    <w:pStyle w:val="NoSpacing"/>
                    <w:jc w:val="right"/>
                    <w:rPr>
                      <w:i/>
                      <w:sz w:val="20"/>
                    </w:rPr>
                  </w:pPr>
                  <w:r>
                    <w:rPr>
                      <w:i/>
                      <w:sz w:val="20"/>
                    </w:rPr>
                    <w:t>Effective</w:t>
                  </w:r>
                </w:p>
              </w:tc>
              <w:tc>
                <w:tcPr>
                  <w:tcW w:w="426" w:type="dxa"/>
                  <w:shd w:val="clear" w:color="auto" w:fill="DBE5F1" w:themeFill="accent1" w:themeFillTint="33"/>
                </w:tcPr>
                <w:p w14:paraId="2363578B" w14:textId="77777777" w:rsidR="004E3ADA" w:rsidRDefault="004E3ADA" w:rsidP="001009AE">
                  <w:pPr>
                    <w:pStyle w:val="NoSpacing"/>
                    <w:jc w:val="right"/>
                    <w:rPr>
                      <w:i/>
                      <w:sz w:val="20"/>
                    </w:rPr>
                  </w:pPr>
                </w:p>
              </w:tc>
              <w:tc>
                <w:tcPr>
                  <w:tcW w:w="973" w:type="dxa"/>
                </w:tcPr>
                <w:p w14:paraId="352222AC" w14:textId="77777777" w:rsidR="004E3ADA" w:rsidRDefault="004E3ADA" w:rsidP="001009AE">
                  <w:pPr>
                    <w:pStyle w:val="NoSpacing"/>
                    <w:jc w:val="right"/>
                    <w:rPr>
                      <w:i/>
                      <w:sz w:val="20"/>
                    </w:rPr>
                  </w:pPr>
                  <w:r>
                    <w:rPr>
                      <w:i/>
                      <w:sz w:val="20"/>
                    </w:rPr>
                    <w:t xml:space="preserve">Neutral </w:t>
                  </w:r>
                </w:p>
              </w:tc>
              <w:tc>
                <w:tcPr>
                  <w:tcW w:w="425" w:type="dxa"/>
                  <w:shd w:val="clear" w:color="auto" w:fill="DBE5F1" w:themeFill="accent1" w:themeFillTint="33"/>
                </w:tcPr>
                <w:p w14:paraId="7998FCA5" w14:textId="77777777" w:rsidR="004E3ADA" w:rsidRDefault="004E3ADA" w:rsidP="001009AE">
                  <w:pPr>
                    <w:pStyle w:val="NoSpacing"/>
                    <w:jc w:val="right"/>
                    <w:rPr>
                      <w:i/>
                      <w:sz w:val="20"/>
                    </w:rPr>
                  </w:pPr>
                  <w:r>
                    <w:rPr>
                      <w:i/>
                      <w:sz w:val="20"/>
                    </w:rPr>
                    <w:t>X</w:t>
                  </w:r>
                </w:p>
              </w:tc>
              <w:tc>
                <w:tcPr>
                  <w:tcW w:w="1295" w:type="dxa"/>
                </w:tcPr>
                <w:p w14:paraId="7D212FD0" w14:textId="77777777" w:rsidR="004E3ADA" w:rsidRDefault="004E3ADA" w:rsidP="001009AE">
                  <w:pPr>
                    <w:pStyle w:val="NoSpacing"/>
                    <w:jc w:val="right"/>
                    <w:rPr>
                      <w:i/>
                      <w:sz w:val="20"/>
                    </w:rPr>
                  </w:pPr>
                  <w:r>
                    <w:rPr>
                      <w:i/>
                      <w:sz w:val="20"/>
                    </w:rPr>
                    <w:t>Ineffective</w:t>
                  </w:r>
                </w:p>
              </w:tc>
              <w:tc>
                <w:tcPr>
                  <w:tcW w:w="425" w:type="dxa"/>
                  <w:shd w:val="clear" w:color="auto" w:fill="DBE5F1" w:themeFill="accent1" w:themeFillTint="33"/>
                </w:tcPr>
                <w:p w14:paraId="7D3431B9" w14:textId="77777777" w:rsidR="004E3ADA" w:rsidRDefault="004E3ADA" w:rsidP="001009AE">
                  <w:pPr>
                    <w:pStyle w:val="NoSpacing"/>
                    <w:rPr>
                      <w:i/>
                      <w:sz w:val="20"/>
                    </w:rPr>
                  </w:pPr>
                </w:p>
              </w:tc>
              <w:tc>
                <w:tcPr>
                  <w:tcW w:w="1276" w:type="dxa"/>
                  <w:shd w:val="clear" w:color="auto" w:fill="auto"/>
                </w:tcPr>
                <w:p w14:paraId="56648D74" w14:textId="77777777" w:rsidR="004E3ADA" w:rsidRDefault="004E3ADA" w:rsidP="001009AE">
                  <w:pPr>
                    <w:pStyle w:val="NoSpacing"/>
                    <w:rPr>
                      <w:i/>
                      <w:sz w:val="20"/>
                    </w:rPr>
                  </w:pPr>
                  <w:r>
                    <w:rPr>
                      <w:i/>
                      <w:sz w:val="20"/>
                    </w:rPr>
                    <w:t>Unknown</w:t>
                  </w:r>
                </w:p>
              </w:tc>
              <w:tc>
                <w:tcPr>
                  <w:tcW w:w="425" w:type="dxa"/>
                  <w:shd w:val="clear" w:color="auto" w:fill="DBE5F1" w:themeFill="accent1" w:themeFillTint="33"/>
                </w:tcPr>
                <w:p w14:paraId="6A936FBB" w14:textId="77777777" w:rsidR="004E3ADA" w:rsidRDefault="004E3ADA" w:rsidP="001009AE">
                  <w:pPr>
                    <w:pStyle w:val="NoSpacing"/>
                    <w:rPr>
                      <w:i/>
                      <w:sz w:val="20"/>
                    </w:rPr>
                  </w:pPr>
                </w:p>
              </w:tc>
            </w:tr>
          </w:tbl>
          <w:p w14:paraId="67FCC099" w14:textId="77777777" w:rsidR="004E3ADA" w:rsidRDefault="004E3ADA" w:rsidP="001009AE">
            <w:pPr>
              <w:pStyle w:val="NoSpacing"/>
              <w:rPr>
                <w:i/>
                <w:sz w:val="20"/>
              </w:rPr>
            </w:pPr>
          </w:p>
          <w:p w14:paraId="6675AE4F" w14:textId="77777777" w:rsidR="004E3ADA" w:rsidRDefault="004E3ADA" w:rsidP="001009AE">
            <w:pPr>
              <w:pStyle w:val="NoSpacing"/>
              <w:rPr>
                <w:sz w:val="20"/>
              </w:rPr>
            </w:pPr>
            <w:r w:rsidRPr="00C856F5">
              <w:rPr>
                <w:i/>
                <w:sz w:val="20"/>
              </w:rPr>
              <w:t>Rationale</w:t>
            </w:r>
            <w:r>
              <w:rPr>
                <w:sz w:val="20"/>
              </w:rPr>
              <w:t>:</w:t>
            </w:r>
          </w:p>
          <w:p w14:paraId="382AB8C9" w14:textId="1867426F" w:rsidR="00307F9E" w:rsidRDefault="001A6455" w:rsidP="00971F68">
            <w:pPr>
              <w:pStyle w:val="NoSpacing"/>
            </w:pPr>
            <w:r>
              <w:t>A</w:t>
            </w:r>
            <w:r w:rsidR="008D5E7C">
              <w:t xml:space="preserve">ntifouling systems </w:t>
            </w:r>
            <w:r w:rsidR="00627066">
              <w:t xml:space="preserve">are diverse </w:t>
            </w:r>
            <w:r w:rsidR="002E7A33">
              <w:t xml:space="preserve">and their effectiveness </w:t>
            </w:r>
            <w:r w:rsidR="002E7A33" w:rsidRPr="005A0032">
              <w:t>depend</w:t>
            </w:r>
            <w:r w:rsidR="002E7A33">
              <w:t>s</w:t>
            </w:r>
            <w:r w:rsidR="002E7A33" w:rsidRPr="005A0032">
              <w:t xml:space="preserve"> on </w:t>
            </w:r>
            <w:r w:rsidR="00B61FA4">
              <w:t xml:space="preserve">the system </w:t>
            </w:r>
            <w:r w:rsidR="002E7A33">
              <w:t xml:space="preserve">applied and </w:t>
            </w:r>
            <w:r w:rsidR="00B61FA4">
              <w:t xml:space="preserve">the </w:t>
            </w:r>
            <w:r w:rsidR="002E7A33">
              <w:t>type of vessel</w:t>
            </w:r>
            <w:r w:rsidR="00627066">
              <w:t>.</w:t>
            </w:r>
            <w:r w:rsidR="004E3ADA" w:rsidRPr="005A0032">
              <w:t xml:space="preserve"> </w:t>
            </w:r>
          </w:p>
          <w:p w14:paraId="0B1D3FFC" w14:textId="46F12B1E" w:rsidR="004E3ADA" w:rsidRDefault="0095318F" w:rsidP="00971F68">
            <w:pPr>
              <w:pStyle w:val="NoSpacing"/>
            </w:pPr>
            <w:r>
              <w:t>For example, non-toxic paints may have a shorter lifespan than organotin paints and, consequently, may need to be</w:t>
            </w:r>
            <w:r w:rsidR="00971F68">
              <w:t xml:space="preserve"> </w:t>
            </w:r>
            <w:r>
              <w:t>applied more often</w:t>
            </w:r>
            <w:r w:rsidR="00307F9E">
              <w:t xml:space="preserve"> and may</w:t>
            </w:r>
            <w:r>
              <w:t xml:space="preserve"> be less efficient in preventing biofouling. Another drawback of biocide</w:t>
            </w:r>
            <w:r w:rsidR="00A96D64">
              <w:t xml:space="preserve"> </w:t>
            </w:r>
            <w:r>
              <w:t>free coatings is that they may not be sufficiently robust for some ships</w:t>
            </w:r>
            <w:r w:rsidR="000A4299">
              <w:t xml:space="preserve"> following intercontinental routes</w:t>
            </w:r>
            <w:r>
              <w:t xml:space="preserve"> (</w:t>
            </w:r>
            <w:r w:rsidR="00A96D64">
              <w:t xml:space="preserve">revised in </w:t>
            </w:r>
            <w:proofErr w:type="spellStart"/>
            <w:r w:rsidR="009B11A3" w:rsidRPr="009B11A3">
              <w:t>Bouyssou</w:t>
            </w:r>
            <w:proofErr w:type="spellEnd"/>
            <w:r w:rsidR="009B11A3" w:rsidRPr="009B11A3">
              <w:t xml:space="preserve"> &amp; </w:t>
            </w:r>
            <w:proofErr w:type="spellStart"/>
            <w:r w:rsidR="009B11A3" w:rsidRPr="009B11A3">
              <w:t>Madjidian</w:t>
            </w:r>
            <w:proofErr w:type="spellEnd"/>
            <w:r w:rsidR="009B11A3" w:rsidRPr="009B11A3">
              <w:t>, 2014</w:t>
            </w:r>
            <w:r>
              <w:t>).</w:t>
            </w:r>
            <w:r w:rsidR="00A350B0">
              <w:t xml:space="preserve"> Mechanical grooming </w:t>
            </w:r>
            <w:r w:rsidR="00A350B0" w:rsidRPr="00A350B0">
              <w:t>is helpful in reducing fouling on submerged surfaces coated with fouling</w:t>
            </w:r>
            <w:r w:rsidR="00A350B0">
              <w:t xml:space="preserve"> </w:t>
            </w:r>
            <w:r w:rsidR="00A350B0" w:rsidRPr="00A350B0">
              <w:t>release coatings</w:t>
            </w:r>
            <w:r w:rsidR="00A350B0">
              <w:t xml:space="preserve"> (</w:t>
            </w:r>
            <w:proofErr w:type="spellStart"/>
            <w:r w:rsidR="00A350B0">
              <w:t>Hearin</w:t>
            </w:r>
            <w:proofErr w:type="spellEnd"/>
            <w:r w:rsidR="00A350B0">
              <w:t xml:space="preserve"> et al., 2016). Low saline treatments can be highly effective at reducing biofouling (</w:t>
            </w:r>
            <w:r w:rsidR="00307F9E">
              <w:t xml:space="preserve">even by </w:t>
            </w:r>
            <w:r w:rsidR="00A350B0">
              <w:t>100%</w:t>
            </w:r>
            <w:r w:rsidR="00307F9E">
              <w:t>,</w:t>
            </w:r>
            <w:r w:rsidR="00A350B0">
              <w:t xml:space="preserve"> </w:t>
            </w:r>
            <w:r w:rsidR="00307F9E">
              <w:t xml:space="preserve">although </w:t>
            </w:r>
            <w:r w:rsidR="00A350B0">
              <w:t xml:space="preserve">it </w:t>
            </w:r>
            <w:r w:rsidR="00A350B0" w:rsidRPr="007D682A">
              <w:t>depends on the situation) and can be used in conjunction with antifouling coating systems (</w:t>
            </w:r>
            <w:r w:rsidR="007125D7" w:rsidRPr="007D682A">
              <w:t>revised in de Castro et al., 2018).</w:t>
            </w:r>
            <w:r w:rsidR="00CE7196">
              <w:t xml:space="preserve"> </w:t>
            </w:r>
            <w:r w:rsidR="00971F68">
              <w:t>However,</w:t>
            </w:r>
            <w:r w:rsidR="00CE7196">
              <w:t xml:space="preserve"> once the ship is stationary for any length of time, the effectiveness of anti-fouling coatings diminishes</w:t>
            </w:r>
            <w:r w:rsidR="009726BF">
              <w:t>,</w:t>
            </w:r>
            <w:r w:rsidR="00CE7196">
              <w:t xml:space="preserve"> with rapid coloni</w:t>
            </w:r>
            <w:r w:rsidR="009726BF">
              <w:t>s</w:t>
            </w:r>
            <w:r w:rsidR="00CE7196">
              <w:t xml:space="preserve">ation of assemblages of aquatic organisms becoming attached to the hull. For example, “a 200-metre long merchant ship is capable of acquiring 20 tonnes of bio-fouling if stationary for a prolonged period” (reported in </w:t>
            </w:r>
            <w:proofErr w:type="spellStart"/>
            <w:r w:rsidR="00CE7196">
              <w:t>Hydrex</w:t>
            </w:r>
            <w:proofErr w:type="spellEnd"/>
            <w:r w:rsidR="00412EB4">
              <w:rPr>
                <w:rStyle w:val="FootnoteReference"/>
              </w:rPr>
              <w:footnoteReference w:id="10"/>
            </w:r>
            <w:r w:rsidR="00DE24F5">
              <w:t>)</w:t>
            </w:r>
            <w:r w:rsidR="00CE7196">
              <w:t>.</w:t>
            </w:r>
            <w:r w:rsidR="00B7222A">
              <w:t xml:space="preserve"> </w:t>
            </w:r>
          </w:p>
          <w:p w14:paraId="4358F261" w14:textId="55431F86" w:rsidR="00B61FA4" w:rsidRPr="005A0032" w:rsidRDefault="00B61FA4" w:rsidP="00971F68">
            <w:pPr>
              <w:pStyle w:val="NoSpacing"/>
            </w:pPr>
          </w:p>
        </w:tc>
      </w:tr>
      <w:tr w:rsidR="004E3ADA" w14:paraId="1F291F27" w14:textId="77777777" w:rsidTr="001009AE">
        <w:tc>
          <w:tcPr>
            <w:tcW w:w="3295" w:type="dxa"/>
            <w:shd w:val="clear" w:color="auto" w:fill="DBE5F1" w:themeFill="accent1" w:themeFillTint="33"/>
          </w:tcPr>
          <w:p w14:paraId="1D8291F5" w14:textId="77777777" w:rsidR="004E3ADA" w:rsidRPr="0039672E" w:rsidRDefault="004E3ADA" w:rsidP="001009AE">
            <w:pPr>
              <w:pStyle w:val="NoSpacing"/>
              <w:rPr>
                <w:b/>
              </w:rPr>
            </w:pPr>
            <w:r w:rsidRPr="0039672E">
              <w:rPr>
                <w:b/>
              </w:rPr>
              <w:t>Effort required</w:t>
            </w:r>
          </w:p>
          <w:p w14:paraId="3526305B" w14:textId="77777777" w:rsidR="004E3ADA" w:rsidRPr="002B6463" w:rsidRDefault="004E3ADA" w:rsidP="001009AE">
            <w:pPr>
              <w:pStyle w:val="NoSpacing"/>
              <w:rPr>
                <w:sz w:val="20"/>
              </w:rPr>
            </w:pPr>
            <w:r w:rsidRPr="00EA6987">
              <w:rPr>
                <w:sz w:val="20"/>
              </w:rPr>
              <w:t>e.g. period of time over which measure need</w:t>
            </w:r>
            <w:r>
              <w:rPr>
                <w:sz w:val="20"/>
              </w:rPr>
              <w:t>s</w:t>
            </w:r>
            <w:r w:rsidRPr="00EA6987">
              <w:rPr>
                <w:sz w:val="20"/>
              </w:rPr>
              <w:t xml:space="preserve"> to be applied to have results</w:t>
            </w:r>
          </w:p>
        </w:tc>
        <w:tc>
          <w:tcPr>
            <w:tcW w:w="10653" w:type="dxa"/>
          </w:tcPr>
          <w:p w14:paraId="1519F06C" w14:textId="7A231670" w:rsidR="004E3ADA" w:rsidRPr="002B6463" w:rsidRDefault="008D5E7C" w:rsidP="001009AE">
            <w:pPr>
              <w:pStyle w:val="NoSpacing"/>
              <w:rPr>
                <w:sz w:val="20"/>
              </w:rPr>
            </w:pPr>
            <w:r>
              <w:t>Biofouling management</w:t>
            </w:r>
            <w:r w:rsidR="008714FD">
              <w:t xml:space="preserve"> </w:t>
            </w:r>
            <w:r w:rsidR="004E3ADA">
              <w:t>should be applied indefinitely</w:t>
            </w:r>
            <w:r w:rsidR="004E3ADA" w:rsidRPr="005A0032">
              <w:t xml:space="preserve">. </w:t>
            </w:r>
          </w:p>
        </w:tc>
      </w:tr>
      <w:tr w:rsidR="004E3ADA" w14:paraId="402351F7" w14:textId="77777777" w:rsidTr="001009AE">
        <w:tc>
          <w:tcPr>
            <w:tcW w:w="3295" w:type="dxa"/>
            <w:shd w:val="clear" w:color="auto" w:fill="DBE5F1" w:themeFill="accent1" w:themeFillTint="33"/>
          </w:tcPr>
          <w:p w14:paraId="079CCC53" w14:textId="77777777" w:rsidR="004E3ADA" w:rsidRPr="0039672E" w:rsidRDefault="004E3ADA" w:rsidP="001009AE">
            <w:pPr>
              <w:pStyle w:val="NoSpacing"/>
              <w:rPr>
                <w:b/>
                <w:sz w:val="24"/>
                <w:vertAlign w:val="superscript"/>
              </w:rPr>
            </w:pPr>
            <w:r w:rsidRPr="0039672E">
              <w:rPr>
                <w:b/>
              </w:rPr>
              <w:t>Resources required</w:t>
            </w:r>
            <w:r>
              <w:rPr>
                <w:b/>
              </w:rPr>
              <w:t xml:space="preserve"> </w:t>
            </w:r>
            <w:r>
              <w:rPr>
                <w:b/>
                <w:vertAlign w:val="superscript"/>
              </w:rPr>
              <w:t>1</w:t>
            </w:r>
          </w:p>
          <w:p w14:paraId="255745A0" w14:textId="77777777" w:rsidR="004E3ADA" w:rsidRPr="002B6463" w:rsidRDefault="004E3ADA" w:rsidP="001009AE">
            <w:pPr>
              <w:pStyle w:val="NoSpacing"/>
              <w:rPr>
                <w:sz w:val="20"/>
              </w:rPr>
            </w:pPr>
            <w:r>
              <w:rPr>
                <w:sz w:val="20"/>
              </w:rPr>
              <w:t>e.g. cost, staff, equipment etc.</w:t>
            </w:r>
          </w:p>
        </w:tc>
        <w:tc>
          <w:tcPr>
            <w:tcW w:w="10653" w:type="dxa"/>
          </w:tcPr>
          <w:p w14:paraId="4306187E" w14:textId="4C5C85F4" w:rsidR="00E522C0" w:rsidRDefault="004E3ADA" w:rsidP="00C312B0">
            <w:pPr>
              <w:pStyle w:val="NoSpacing"/>
            </w:pPr>
            <w:r w:rsidRPr="005A0032">
              <w:t>Costs vary according to the different systems</w:t>
            </w:r>
            <w:r w:rsidR="00902C76" w:rsidRPr="005A0032">
              <w:t xml:space="preserve"> adopted</w:t>
            </w:r>
            <w:r w:rsidRPr="005A0032">
              <w:t xml:space="preserve"> </w:t>
            </w:r>
            <w:r w:rsidR="00E522C0">
              <w:t xml:space="preserve">and </w:t>
            </w:r>
            <w:r w:rsidR="00902C76">
              <w:t xml:space="preserve">the type of </w:t>
            </w:r>
            <w:r w:rsidR="00E522C0">
              <w:t xml:space="preserve">treated ships, </w:t>
            </w:r>
            <w:r w:rsidRPr="005A0032">
              <w:t xml:space="preserve">as well as </w:t>
            </w:r>
            <w:r w:rsidR="00C4774D">
              <w:t xml:space="preserve">to different </w:t>
            </w:r>
            <w:r w:rsidRPr="005A0032">
              <w:t xml:space="preserve">operating and maintenance costs. </w:t>
            </w:r>
            <w:r w:rsidR="00AB2279">
              <w:t xml:space="preserve">For example, </w:t>
            </w:r>
            <w:r w:rsidR="009657A9">
              <w:t>even if</w:t>
            </w:r>
            <w:r w:rsidR="00AB2279">
              <w:t xml:space="preserve"> high pressure washing in </w:t>
            </w:r>
            <w:r w:rsidR="0060745B">
              <w:t>dry-dock</w:t>
            </w:r>
            <w:r w:rsidR="00AB2279">
              <w:t xml:space="preserve"> is very effective for removing fouling, it is not practical</w:t>
            </w:r>
            <w:r w:rsidR="009657A9">
              <w:t xml:space="preserve"> </w:t>
            </w:r>
            <w:r w:rsidR="00AB2279">
              <w:t xml:space="preserve">for a ship to be </w:t>
            </w:r>
            <w:r w:rsidR="0060745B">
              <w:t>dry-docked</w:t>
            </w:r>
            <w:r w:rsidR="00AB2279">
              <w:t xml:space="preserve"> frequently</w:t>
            </w:r>
            <w:r w:rsidR="009657A9">
              <w:t>, because i</w:t>
            </w:r>
            <w:r w:rsidR="00AB2279">
              <w:t>t is too expensive, and therefore ship</w:t>
            </w:r>
            <w:r w:rsidR="0060745B">
              <w:t xml:space="preserve"> </w:t>
            </w:r>
            <w:r w:rsidR="00AB2279">
              <w:t xml:space="preserve">owners will simply avoid it (reported in </w:t>
            </w:r>
            <w:proofErr w:type="spellStart"/>
            <w:r w:rsidR="00AB2279">
              <w:t>Hydrex</w:t>
            </w:r>
            <w:proofErr w:type="spellEnd"/>
            <w:r w:rsidR="00DE24F5">
              <w:t>)</w:t>
            </w:r>
            <w:r w:rsidR="00AB2279">
              <w:t>.</w:t>
            </w:r>
            <w:r w:rsidR="00692641">
              <w:t xml:space="preserve"> However, </w:t>
            </w:r>
            <w:r w:rsidR="00C312B0">
              <w:t xml:space="preserve">it is important to underline that the primary cost associated with fouling is </w:t>
            </w:r>
            <w:r w:rsidR="00933946">
              <w:t xml:space="preserve">the </w:t>
            </w:r>
            <w:r w:rsidR="00C312B0">
              <w:t xml:space="preserve">increased fuel consumption attributable to increased frictional drag, while the costs related to hull cleaning and painting are much lower than </w:t>
            </w:r>
            <w:r w:rsidR="006D7681">
              <w:t>those</w:t>
            </w:r>
            <w:r w:rsidR="00C312B0">
              <w:t xml:space="preserve"> (</w:t>
            </w:r>
            <w:r w:rsidR="00C312B0" w:rsidRPr="00C312B0">
              <w:t>Schultz et al.</w:t>
            </w:r>
            <w:r w:rsidR="00C312B0">
              <w:t>,</w:t>
            </w:r>
            <w:r w:rsidR="00C312B0" w:rsidRPr="00C312B0">
              <w:t xml:space="preserve"> 2011</w:t>
            </w:r>
            <w:r w:rsidR="00C312B0">
              <w:t>).</w:t>
            </w:r>
          </w:p>
          <w:p w14:paraId="1DBC96C3" w14:textId="77777777" w:rsidR="002E7A33" w:rsidRDefault="002E7A33" w:rsidP="00AB2279">
            <w:pPr>
              <w:pStyle w:val="NoSpacing"/>
            </w:pPr>
          </w:p>
          <w:p w14:paraId="56B1F96E" w14:textId="3C5F7673" w:rsidR="00AB2279" w:rsidRDefault="009776FB" w:rsidP="00AB2279">
            <w:pPr>
              <w:pStyle w:val="NoSpacing"/>
            </w:pPr>
            <w:r>
              <w:lastRenderedPageBreak/>
              <w:t xml:space="preserve">For example, Schultz et al. (2011) reported that for </w:t>
            </w:r>
            <w:r w:rsidRPr="009776FB">
              <w:t>a mid-sized naval surface ship (</w:t>
            </w:r>
            <w:proofErr w:type="spellStart"/>
            <w:r w:rsidRPr="009776FB">
              <w:t>Arleigh</w:t>
            </w:r>
            <w:proofErr w:type="spellEnd"/>
            <w:r w:rsidRPr="009776FB">
              <w:t xml:space="preserve"> Burke-class destroyer DDG-51)</w:t>
            </w:r>
            <w:r>
              <w:t xml:space="preserve"> “t</w:t>
            </w:r>
            <w:r w:rsidRPr="009776FB">
              <w:t>he costs related to hull cleaning and painting are much lower than the fuel costs. The overall cost associated with hull fouling for the Navy's present coating, cleaning, and fouling level is estimated to be 56</w:t>
            </w:r>
            <w:r w:rsidR="002E7A33">
              <w:t xml:space="preserve"> m</w:t>
            </w:r>
            <w:r w:rsidR="00C4774D">
              <w:t>i</w:t>
            </w:r>
            <w:r w:rsidR="002E7A33">
              <w:t>llion USD</w:t>
            </w:r>
            <w:r w:rsidRPr="009776FB">
              <w:t xml:space="preserve"> </w:t>
            </w:r>
            <w:r w:rsidR="002E7A33">
              <w:t xml:space="preserve">(ca. 50 </w:t>
            </w:r>
            <w:r w:rsidR="00A8752E">
              <w:t xml:space="preserve">million </w:t>
            </w:r>
            <w:r w:rsidR="002E7A33">
              <w:t xml:space="preserve">EUR) </w:t>
            </w:r>
            <w:r w:rsidRPr="009776FB">
              <w:t xml:space="preserve">per year for the entire DDG-51 class </w:t>
            </w:r>
            <w:r w:rsidR="009007C0">
              <w:t>(</w:t>
            </w:r>
            <w:r w:rsidR="009007C0" w:rsidRPr="009007C0">
              <w:t xml:space="preserve">56 ships) </w:t>
            </w:r>
            <w:r w:rsidRPr="009776FB">
              <w:t>or 1</w:t>
            </w:r>
            <w:r w:rsidR="002E7A33">
              <w:t xml:space="preserve"> billion USD (ca. 0.9 billion EUR)</w:t>
            </w:r>
            <w:r w:rsidRPr="009776FB">
              <w:t xml:space="preserve"> over 15 years</w:t>
            </w:r>
            <w:r>
              <w:t>”</w:t>
            </w:r>
            <w:r w:rsidRPr="009776FB">
              <w:t>.</w:t>
            </w:r>
          </w:p>
          <w:p w14:paraId="66F0848A" w14:textId="77777777" w:rsidR="002E7A33" w:rsidRDefault="002E7A33" w:rsidP="00AB2279">
            <w:pPr>
              <w:pStyle w:val="NoSpacing"/>
            </w:pPr>
          </w:p>
          <w:p w14:paraId="58B732A0" w14:textId="0279816C" w:rsidR="004E3ADA" w:rsidRDefault="0086304B" w:rsidP="00DC79B7">
            <w:pPr>
              <w:pStyle w:val="NoSpacing"/>
            </w:pPr>
            <w:r>
              <w:t>A recent report estimated that</w:t>
            </w:r>
            <w:r w:rsidR="005F2B2E">
              <w:t>,</w:t>
            </w:r>
            <w:r>
              <w:t xml:space="preserve"> </w:t>
            </w:r>
            <w:r w:rsidR="00B554A3">
              <w:t>in Australia</w:t>
            </w:r>
            <w:r w:rsidR="005F2B2E">
              <w:t>,</w:t>
            </w:r>
            <w:r w:rsidR="00B554A3">
              <w:t xml:space="preserve"> </w:t>
            </w:r>
            <w:r w:rsidR="00B554A3" w:rsidRPr="0086304B">
              <w:t xml:space="preserve">regulatory costs </w:t>
            </w:r>
            <w:r w:rsidR="00B554A3">
              <w:t xml:space="preserve">to </w:t>
            </w:r>
            <w:r w:rsidR="002B2AEE">
              <w:t xml:space="preserve">the </w:t>
            </w:r>
            <w:r w:rsidR="00B554A3" w:rsidRPr="0086304B">
              <w:t xml:space="preserve">commercial vessel sector </w:t>
            </w:r>
            <w:r w:rsidR="00F85AC7">
              <w:t>(</w:t>
            </w:r>
            <w:r w:rsidR="00B9687A">
              <w:t xml:space="preserve">considering that </w:t>
            </w:r>
            <w:r w:rsidR="00F85AC7" w:rsidRPr="00F85AC7">
              <w:t>annually close to 27,000 vessels enter Australian territory from 600 overseas ports</w:t>
            </w:r>
            <w:r w:rsidR="005F2B2E">
              <w:t>;</w:t>
            </w:r>
            <w:r w:rsidR="00F85AC7">
              <w:t xml:space="preserve"> </w:t>
            </w:r>
            <w:r w:rsidR="00B9687A">
              <w:t xml:space="preserve">reported in </w:t>
            </w:r>
            <w:r w:rsidR="00B9687A" w:rsidRPr="00B554A3">
              <w:t>Department of Agriculture and Water Resources</w:t>
            </w:r>
            <w:r w:rsidR="00B9687A">
              <w:t>,</w:t>
            </w:r>
            <w:r w:rsidR="00B9687A" w:rsidRPr="00B554A3">
              <w:t xml:space="preserve"> 2019</w:t>
            </w:r>
            <w:r w:rsidR="00B9687A">
              <w:t>)</w:t>
            </w:r>
            <w:r w:rsidR="00F85AC7" w:rsidRPr="00F85AC7">
              <w:t xml:space="preserve"> </w:t>
            </w:r>
            <w:r w:rsidR="00B554A3">
              <w:t xml:space="preserve">for </w:t>
            </w:r>
            <w:r w:rsidR="005F2B2E">
              <w:t xml:space="preserve">implementing </w:t>
            </w:r>
            <w:r w:rsidR="00B554A3">
              <w:t>e</w:t>
            </w:r>
            <w:r w:rsidR="00B554A3" w:rsidRPr="00B554A3">
              <w:t xml:space="preserve">ffective </w:t>
            </w:r>
            <w:r w:rsidR="00B554A3">
              <w:t>b</w:t>
            </w:r>
            <w:r w:rsidR="00B554A3" w:rsidRPr="00B554A3">
              <w:t xml:space="preserve">iofouling </w:t>
            </w:r>
            <w:r w:rsidR="00B554A3">
              <w:t>m</w:t>
            </w:r>
            <w:r w:rsidR="00B554A3" w:rsidRPr="00B554A3">
              <w:t xml:space="preserve">anagement </w:t>
            </w:r>
            <w:r w:rsidR="00B554A3">
              <w:t>p</w:t>
            </w:r>
            <w:r w:rsidR="00B554A3" w:rsidRPr="00B554A3">
              <w:t>ractices</w:t>
            </w:r>
            <w:r w:rsidR="00B554A3">
              <w:t xml:space="preserve"> </w:t>
            </w:r>
            <w:r w:rsidR="005F2B2E" w:rsidRPr="0086304B">
              <w:t>over 10 year</w:t>
            </w:r>
            <w:r w:rsidR="005F2B2E">
              <w:t>s</w:t>
            </w:r>
            <w:r w:rsidR="005F2B2E" w:rsidRPr="0086304B">
              <w:t xml:space="preserve"> </w:t>
            </w:r>
            <w:r w:rsidR="00B554A3">
              <w:t xml:space="preserve">(i.e. </w:t>
            </w:r>
            <w:r w:rsidR="00B554A3" w:rsidRPr="00B554A3">
              <w:t>requir</w:t>
            </w:r>
            <w:r w:rsidR="00B554A3">
              <w:t>ing</w:t>
            </w:r>
            <w:r w:rsidR="00B554A3" w:rsidRPr="00B554A3">
              <w:t xml:space="preserve"> vessels to implement effective and vessel-specific biofouling management practices consistent with the direction set by the International Maritime Organization</w:t>
            </w:r>
            <w:r w:rsidR="00B554A3">
              <w:t>) would be</w:t>
            </w:r>
            <w:r w:rsidRPr="0086304B">
              <w:t xml:space="preserve"> 10,519,000</w:t>
            </w:r>
            <w:r w:rsidR="002E7A33">
              <w:t xml:space="preserve"> AUD (ca. </w:t>
            </w:r>
            <w:r w:rsidR="002E7A33" w:rsidRPr="002E7A33">
              <w:t>6,5</w:t>
            </w:r>
            <w:r w:rsidR="002E7A33">
              <w:t>10</w:t>
            </w:r>
            <w:r w:rsidR="002E7A33" w:rsidRPr="002E7A33">
              <w:t>,</w:t>
            </w:r>
            <w:r w:rsidR="002E7A33">
              <w:t>00</w:t>
            </w:r>
            <w:r w:rsidR="002E7A33" w:rsidRPr="002E7A33">
              <w:t>0</w:t>
            </w:r>
            <w:r w:rsidR="002E7A33">
              <w:t xml:space="preserve"> EUR)</w:t>
            </w:r>
            <w:r w:rsidR="00B554A3">
              <w:t xml:space="preserve"> (</w:t>
            </w:r>
            <w:r w:rsidR="00B554A3" w:rsidRPr="00B554A3">
              <w:t>Department of Agriculture and Water Resources</w:t>
            </w:r>
            <w:r w:rsidR="00B554A3">
              <w:t>,</w:t>
            </w:r>
            <w:r w:rsidR="00B554A3" w:rsidRPr="00B554A3">
              <w:t xml:space="preserve"> 2019</w:t>
            </w:r>
            <w:r w:rsidR="00B554A3">
              <w:t>)</w:t>
            </w:r>
            <w:r w:rsidRPr="0086304B">
              <w:t>.</w:t>
            </w:r>
            <w:r w:rsidR="005F2B2E">
              <w:t xml:space="preserve"> </w:t>
            </w:r>
            <w:r w:rsidR="00CC15D3">
              <w:t>The benefits due to fuel saving are not provided</w:t>
            </w:r>
            <w:r w:rsidR="008F038B">
              <w:t>,</w:t>
            </w:r>
            <w:r w:rsidR="00CC15D3">
              <w:t xml:space="preserve"> but most probably outweigh the</w:t>
            </w:r>
            <w:r w:rsidR="008F038B">
              <w:t>se</w:t>
            </w:r>
            <w:r w:rsidR="00CC15D3">
              <w:t xml:space="preserve"> costs. </w:t>
            </w:r>
          </w:p>
          <w:p w14:paraId="256F768A" w14:textId="21BCC188" w:rsidR="00DC79B7" w:rsidRPr="005A0032" w:rsidRDefault="00DC79B7" w:rsidP="00DC79B7">
            <w:pPr>
              <w:pStyle w:val="NoSpacing"/>
            </w:pPr>
          </w:p>
        </w:tc>
      </w:tr>
      <w:tr w:rsidR="004E3ADA" w:rsidRPr="002B6463" w14:paraId="50DF34D4" w14:textId="77777777" w:rsidTr="001009AE">
        <w:tc>
          <w:tcPr>
            <w:tcW w:w="3295" w:type="dxa"/>
            <w:shd w:val="clear" w:color="auto" w:fill="DBE5F1" w:themeFill="accent1" w:themeFillTint="33"/>
          </w:tcPr>
          <w:p w14:paraId="260C55A9" w14:textId="77777777" w:rsidR="004E3ADA" w:rsidRPr="0039672E" w:rsidRDefault="004E3ADA" w:rsidP="001009AE">
            <w:pPr>
              <w:pStyle w:val="NoSpacing"/>
              <w:rPr>
                <w:b/>
              </w:rPr>
            </w:pPr>
            <w:r w:rsidRPr="0039672E">
              <w:rPr>
                <w:b/>
              </w:rPr>
              <w:lastRenderedPageBreak/>
              <w:t>Side effects (incl. potential)</w:t>
            </w:r>
            <w:r>
              <w:rPr>
                <w:b/>
              </w:rPr>
              <w:t xml:space="preserve"> – both positive and negative</w:t>
            </w:r>
          </w:p>
          <w:p w14:paraId="423F0192" w14:textId="77777777" w:rsidR="004E3ADA" w:rsidRDefault="004E3ADA" w:rsidP="001009AE">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062C1B54" w14:textId="77777777" w:rsidR="004E3ADA" w:rsidRDefault="004E3ADA" w:rsidP="001009AE">
            <w:pPr>
              <w:pStyle w:val="NoSpacing"/>
              <w:rPr>
                <w:b/>
              </w:rPr>
            </w:pPr>
          </w:p>
          <w:p w14:paraId="65211E76" w14:textId="77777777" w:rsidR="004E3ADA" w:rsidRPr="0039672E" w:rsidRDefault="004E3ADA" w:rsidP="001009AE">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4E3ADA" w14:paraId="59C31339" w14:textId="77777777" w:rsidTr="001009AE">
              <w:tc>
                <w:tcPr>
                  <w:tcW w:w="2116" w:type="dxa"/>
                </w:tcPr>
                <w:p w14:paraId="429A7081" w14:textId="77777777" w:rsidR="004E3ADA" w:rsidRPr="002E17F6" w:rsidRDefault="004E3ADA" w:rsidP="001009AE">
                  <w:pPr>
                    <w:pStyle w:val="NoSpacing"/>
                    <w:rPr>
                      <w:b/>
                      <w:i/>
                      <w:sz w:val="20"/>
                    </w:rPr>
                  </w:pPr>
                  <w:r w:rsidRPr="002E17F6">
                    <w:rPr>
                      <w:b/>
                      <w:i/>
                      <w:sz w:val="20"/>
                    </w:rPr>
                    <w:t>Environmental</w:t>
                  </w:r>
                  <w:r>
                    <w:rPr>
                      <w:b/>
                      <w:i/>
                      <w:sz w:val="20"/>
                    </w:rPr>
                    <w:t xml:space="preserve"> effects</w:t>
                  </w:r>
                </w:p>
              </w:tc>
              <w:tc>
                <w:tcPr>
                  <w:tcW w:w="1701" w:type="dxa"/>
                </w:tcPr>
                <w:p w14:paraId="39DAE453" w14:textId="77777777" w:rsidR="004E3ADA" w:rsidRDefault="004E3ADA" w:rsidP="001009AE">
                  <w:pPr>
                    <w:pStyle w:val="NoSpacing"/>
                    <w:jc w:val="right"/>
                    <w:rPr>
                      <w:i/>
                      <w:sz w:val="20"/>
                    </w:rPr>
                  </w:pPr>
                  <w:r>
                    <w:rPr>
                      <w:i/>
                      <w:sz w:val="20"/>
                    </w:rPr>
                    <w:t>Positive</w:t>
                  </w:r>
                </w:p>
              </w:tc>
              <w:tc>
                <w:tcPr>
                  <w:tcW w:w="425" w:type="dxa"/>
                  <w:shd w:val="clear" w:color="auto" w:fill="DBE5F1" w:themeFill="accent1" w:themeFillTint="33"/>
                </w:tcPr>
                <w:p w14:paraId="1D76075E" w14:textId="77777777" w:rsidR="004E3ADA" w:rsidRDefault="004E3ADA" w:rsidP="001009AE">
                  <w:pPr>
                    <w:pStyle w:val="NoSpacing"/>
                    <w:jc w:val="right"/>
                    <w:rPr>
                      <w:i/>
                      <w:sz w:val="20"/>
                    </w:rPr>
                  </w:pPr>
                </w:p>
              </w:tc>
              <w:tc>
                <w:tcPr>
                  <w:tcW w:w="2268" w:type="dxa"/>
                </w:tcPr>
                <w:p w14:paraId="54055200" w14:textId="77777777" w:rsidR="004E3ADA" w:rsidRDefault="004E3ADA" w:rsidP="001009AE">
                  <w:pPr>
                    <w:pStyle w:val="NoSpacing"/>
                    <w:jc w:val="right"/>
                    <w:rPr>
                      <w:i/>
                      <w:sz w:val="20"/>
                    </w:rPr>
                  </w:pPr>
                  <w:r>
                    <w:rPr>
                      <w:i/>
                      <w:sz w:val="20"/>
                    </w:rPr>
                    <w:t>Neutral or mixed</w:t>
                  </w:r>
                </w:p>
              </w:tc>
              <w:tc>
                <w:tcPr>
                  <w:tcW w:w="425" w:type="dxa"/>
                  <w:shd w:val="clear" w:color="auto" w:fill="DBE5F1" w:themeFill="accent1" w:themeFillTint="33"/>
                </w:tcPr>
                <w:p w14:paraId="6B27B452" w14:textId="544F63CB" w:rsidR="004E3ADA" w:rsidRDefault="004E3ADA" w:rsidP="001009AE">
                  <w:pPr>
                    <w:pStyle w:val="NoSpacing"/>
                    <w:jc w:val="right"/>
                    <w:rPr>
                      <w:i/>
                      <w:sz w:val="20"/>
                    </w:rPr>
                  </w:pPr>
                </w:p>
              </w:tc>
              <w:tc>
                <w:tcPr>
                  <w:tcW w:w="2002" w:type="dxa"/>
                </w:tcPr>
                <w:p w14:paraId="6D3DA453" w14:textId="77777777" w:rsidR="004E3ADA" w:rsidRDefault="004E3ADA" w:rsidP="001009AE">
                  <w:pPr>
                    <w:pStyle w:val="NoSpacing"/>
                    <w:jc w:val="right"/>
                    <w:rPr>
                      <w:i/>
                      <w:sz w:val="20"/>
                    </w:rPr>
                  </w:pPr>
                  <w:r>
                    <w:rPr>
                      <w:i/>
                      <w:sz w:val="20"/>
                    </w:rPr>
                    <w:t>Negative</w:t>
                  </w:r>
                </w:p>
              </w:tc>
              <w:tc>
                <w:tcPr>
                  <w:tcW w:w="408" w:type="dxa"/>
                  <w:shd w:val="clear" w:color="auto" w:fill="DBE5F1" w:themeFill="accent1" w:themeFillTint="33"/>
                </w:tcPr>
                <w:p w14:paraId="70D5EBC7" w14:textId="1BD8E20B" w:rsidR="004E3ADA" w:rsidRDefault="008548DD" w:rsidP="001009AE">
                  <w:pPr>
                    <w:pStyle w:val="NoSpacing"/>
                    <w:rPr>
                      <w:i/>
                      <w:sz w:val="20"/>
                    </w:rPr>
                  </w:pPr>
                  <w:r>
                    <w:rPr>
                      <w:i/>
                      <w:sz w:val="20"/>
                    </w:rPr>
                    <w:t>X</w:t>
                  </w:r>
                </w:p>
              </w:tc>
            </w:tr>
            <w:tr w:rsidR="004E3ADA" w14:paraId="0231D3B7" w14:textId="77777777" w:rsidTr="001009AE">
              <w:tc>
                <w:tcPr>
                  <w:tcW w:w="2116" w:type="dxa"/>
                </w:tcPr>
                <w:p w14:paraId="2BC55B22" w14:textId="77777777" w:rsidR="004E3ADA" w:rsidRPr="002E17F6" w:rsidRDefault="004E3ADA" w:rsidP="001009AE">
                  <w:pPr>
                    <w:pStyle w:val="NoSpacing"/>
                    <w:rPr>
                      <w:b/>
                      <w:i/>
                      <w:sz w:val="20"/>
                    </w:rPr>
                  </w:pPr>
                  <w:r w:rsidRPr="002E17F6">
                    <w:rPr>
                      <w:b/>
                      <w:i/>
                      <w:sz w:val="20"/>
                    </w:rPr>
                    <w:t>Social</w:t>
                  </w:r>
                  <w:r>
                    <w:rPr>
                      <w:b/>
                      <w:i/>
                      <w:sz w:val="20"/>
                    </w:rPr>
                    <w:t xml:space="preserve"> effects</w:t>
                  </w:r>
                </w:p>
              </w:tc>
              <w:tc>
                <w:tcPr>
                  <w:tcW w:w="1701" w:type="dxa"/>
                </w:tcPr>
                <w:p w14:paraId="4D45F0A2" w14:textId="77777777" w:rsidR="004E3ADA" w:rsidRDefault="004E3ADA" w:rsidP="001009AE">
                  <w:pPr>
                    <w:pStyle w:val="NoSpacing"/>
                    <w:jc w:val="right"/>
                    <w:rPr>
                      <w:i/>
                      <w:sz w:val="20"/>
                    </w:rPr>
                  </w:pPr>
                  <w:r>
                    <w:rPr>
                      <w:i/>
                      <w:sz w:val="20"/>
                    </w:rPr>
                    <w:t>Positive</w:t>
                  </w:r>
                </w:p>
              </w:tc>
              <w:tc>
                <w:tcPr>
                  <w:tcW w:w="425" w:type="dxa"/>
                  <w:shd w:val="clear" w:color="auto" w:fill="DBE5F1" w:themeFill="accent1" w:themeFillTint="33"/>
                </w:tcPr>
                <w:p w14:paraId="0F2D430F" w14:textId="77777777" w:rsidR="004E3ADA" w:rsidRDefault="004E3ADA" w:rsidP="001009AE">
                  <w:pPr>
                    <w:pStyle w:val="NoSpacing"/>
                    <w:jc w:val="right"/>
                    <w:rPr>
                      <w:i/>
                      <w:sz w:val="20"/>
                    </w:rPr>
                  </w:pPr>
                </w:p>
              </w:tc>
              <w:tc>
                <w:tcPr>
                  <w:tcW w:w="2268" w:type="dxa"/>
                </w:tcPr>
                <w:p w14:paraId="56723F82" w14:textId="77777777" w:rsidR="004E3ADA" w:rsidRDefault="004E3ADA" w:rsidP="001009AE">
                  <w:pPr>
                    <w:pStyle w:val="NoSpacing"/>
                    <w:jc w:val="right"/>
                    <w:rPr>
                      <w:i/>
                      <w:sz w:val="20"/>
                    </w:rPr>
                  </w:pPr>
                  <w:r>
                    <w:rPr>
                      <w:i/>
                      <w:sz w:val="20"/>
                    </w:rPr>
                    <w:t>Neutral or mixed</w:t>
                  </w:r>
                </w:p>
              </w:tc>
              <w:tc>
                <w:tcPr>
                  <w:tcW w:w="425" w:type="dxa"/>
                  <w:shd w:val="clear" w:color="auto" w:fill="DBE5F1" w:themeFill="accent1" w:themeFillTint="33"/>
                </w:tcPr>
                <w:p w14:paraId="77FB4CBE" w14:textId="059FA892" w:rsidR="004E3ADA" w:rsidRDefault="007C4EA5" w:rsidP="001009AE">
                  <w:pPr>
                    <w:pStyle w:val="NoSpacing"/>
                    <w:jc w:val="right"/>
                    <w:rPr>
                      <w:i/>
                      <w:sz w:val="20"/>
                    </w:rPr>
                  </w:pPr>
                  <w:r w:rsidRPr="00957E58">
                    <w:rPr>
                      <w:i/>
                      <w:sz w:val="20"/>
                    </w:rPr>
                    <w:t>X</w:t>
                  </w:r>
                </w:p>
              </w:tc>
              <w:tc>
                <w:tcPr>
                  <w:tcW w:w="2002" w:type="dxa"/>
                </w:tcPr>
                <w:p w14:paraId="7EBC1226" w14:textId="77777777" w:rsidR="004E3ADA" w:rsidRDefault="004E3ADA" w:rsidP="001009AE">
                  <w:pPr>
                    <w:pStyle w:val="NoSpacing"/>
                    <w:jc w:val="right"/>
                    <w:rPr>
                      <w:i/>
                      <w:sz w:val="20"/>
                    </w:rPr>
                  </w:pPr>
                  <w:r>
                    <w:rPr>
                      <w:i/>
                      <w:sz w:val="20"/>
                    </w:rPr>
                    <w:t>Negative</w:t>
                  </w:r>
                </w:p>
              </w:tc>
              <w:tc>
                <w:tcPr>
                  <w:tcW w:w="408" w:type="dxa"/>
                  <w:shd w:val="clear" w:color="auto" w:fill="DBE5F1" w:themeFill="accent1" w:themeFillTint="33"/>
                </w:tcPr>
                <w:p w14:paraId="10114933" w14:textId="426691DD" w:rsidR="004E3ADA" w:rsidRDefault="004E3ADA" w:rsidP="001009AE">
                  <w:pPr>
                    <w:pStyle w:val="NoSpacing"/>
                    <w:rPr>
                      <w:i/>
                      <w:sz w:val="20"/>
                    </w:rPr>
                  </w:pPr>
                </w:p>
              </w:tc>
            </w:tr>
            <w:tr w:rsidR="004E3ADA" w14:paraId="642D63FD" w14:textId="77777777" w:rsidTr="001009AE">
              <w:tc>
                <w:tcPr>
                  <w:tcW w:w="2116" w:type="dxa"/>
                </w:tcPr>
                <w:p w14:paraId="4C93D112" w14:textId="77777777" w:rsidR="004E3ADA" w:rsidRPr="002E17F6" w:rsidRDefault="004E3ADA" w:rsidP="001009AE">
                  <w:pPr>
                    <w:pStyle w:val="NoSpacing"/>
                    <w:rPr>
                      <w:b/>
                      <w:i/>
                      <w:sz w:val="20"/>
                    </w:rPr>
                  </w:pPr>
                  <w:r w:rsidRPr="002E17F6">
                    <w:rPr>
                      <w:b/>
                      <w:i/>
                      <w:sz w:val="20"/>
                    </w:rPr>
                    <w:t>Economic</w:t>
                  </w:r>
                  <w:r>
                    <w:rPr>
                      <w:b/>
                      <w:i/>
                      <w:sz w:val="20"/>
                    </w:rPr>
                    <w:t xml:space="preserve"> effects</w:t>
                  </w:r>
                </w:p>
              </w:tc>
              <w:tc>
                <w:tcPr>
                  <w:tcW w:w="1701" w:type="dxa"/>
                </w:tcPr>
                <w:p w14:paraId="5DC88538" w14:textId="77777777" w:rsidR="004E3ADA" w:rsidRDefault="004E3ADA" w:rsidP="001009AE">
                  <w:pPr>
                    <w:pStyle w:val="NoSpacing"/>
                    <w:jc w:val="right"/>
                    <w:rPr>
                      <w:i/>
                      <w:sz w:val="20"/>
                    </w:rPr>
                  </w:pPr>
                  <w:r>
                    <w:rPr>
                      <w:i/>
                      <w:sz w:val="20"/>
                    </w:rPr>
                    <w:t>Positive</w:t>
                  </w:r>
                </w:p>
              </w:tc>
              <w:tc>
                <w:tcPr>
                  <w:tcW w:w="425" w:type="dxa"/>
                  <w:shd w:val="clear" w:color="auto" w:fill="DBE5F1" w:themeFill="accent1" w:themeFillTint="33"/>
                </w:tcPr>
                <w:p w14:paraId="70AB927A" w14:textId="77777777" w:rsidR="004E3ADA" w:rsidRDefault="004E3ADA" w:rsidP="001009AE">
                  <w:pPr>
                    <w:pStyle w:val="NoSpacing"/>
                    <w:jc w:val="right"/>
                    <w:rPr>
                      <w:i/>
                      <w:sz w:val="20"/>
                    </w:rPr>
                  </w:pPr>
                </w:p>
              </w:tc>
              <w:tc>
                <w:tcPr>
                  <w:tcW w:w="2268" w:type="dxa"/>
                </w:tcPr>
                <w:p w14:paraId="011F4A0F" w14:textId="77777777" w:rsidR="004E3ADA" w:rsidRDefault="004E3ADA" w:rsidP="001009AE">
                  <w:pPr>
                    <w:pStyle w:val="NoSpacing"/>
                    <w:jc w:val="right"/>
                    <w:rPr>
                      <w:i/>
                      <w:sz w:val="20"/>
                    </w:rPr>
                  </w:pPr>
                  <w:r>
                    <w:rPr>
                      <w:i/>
                      <w:sz w:val="20"/>
                    </w:rPr>
                    <w:t>Neutral or mixed</w:t>
                  </w:r>
                </w:p>
              </w:tc>
              <w:tc>
                <w:tcPr>
                  <w:tcW w:w="425" w:type="dxa"/>
                  <w:shd w:val="clear" w:color="auto" w:fill="DBE5F1" w:themeFill="accent1" w:themeFillTint="33"/>
                </w:tcPr>
                <w:p w14:paraId="2868DF1E" w14:textId="7BC54135" w:rsidR="004E3ADA" w:rsidRPr="00957E58" w:rsidRDefault="00212C71" w:rsidP="001009AE">
                  <w:pPr>
                    <w:pStyle w:val="NoSpacing"/>
                    <w:jc w:val="right"/>
                    <w:rPr>
                      <w:i/>
                      <w:sz w:val="20"/>
                    </w:rPr>
                  </w:pPr>
                  <w:r w:rsidRPr="00957E58">
                    <w:rPr>
                      <w:i/>
                      <w:sz w:val="20"/>
                    </w:rPr>
                    <w:t>X</w:t>
                  </w:r>
                </w:p>
              </w:tc>
              <w:tc>
                <w:tcPr>
                  <w:tcW w:w="2002" w:type="dxa"/>
                </w:tcPr>
                <w:p w14:paraId="5A44482E" w14:textId="77777777" w:rsidR="004E3ADA" w:rsidRDefault="004E3ADA" w:rsidP="001009AE">
                  <w:pPr>
                    <w:pStyle w:val="NoSpacing"/>
                    <w:jc w:val="right"/>
                    <w:rPr>
                      <w:i/>
                      <w:sz w:val="20"/>
                    </w:rPr>
                  </w:pPr>
                  <w:r>
                    <w:rPr>
                      <w:i/>
                      <w:sz w:val="20"/>
                    </w:rPr>
                    <w:t>Negative</w:t>
                  </w:r>
                </w:p>
              </w:tc>
              <w:tc>
                <w:tcPr>
                  <w:tcW w:w="408" w:type="dxa"/>
                  <w:shd w:val="clear" w:color="auto" w:fill="DBE5F1" w:themeFill="accent1" w:themeFillTint="33"/>
                </w:tcPr>
                <w:p w14:paraId="08920097" w14:textId="73F6B29C" w:rsidR="004E3ADA" w:rsidRDefault="004E3ADA" w:rsidP="001009AE">
                  <w:pPr>
                    <w:pStyle w:val="NoSpacing"/>
                    <w:rPr>
                      <w:i/>
                      <w:sz w:val="20"/>
                    </w:rPr>
                  </w:pPr>
                </w:p>
              </w:tc>
            </w:tr>
          </w:tbl>
          <w:p w14:paraId="3C61D786" w14:textId="77777777" w:rsidR="004E3ADA" w:rsidRDefault="004E3ADA" w:rsidP="001009AE">
            <w:pPr>
              <w:pStyle w:val="NoSpacing"/>
              <w:rPr>
                <w:i/>
                <w:sz w:val="20"/>
              </w:rPr>
            </w:pPr>
          </w:p>
          <w:p w14:paraId="1095F7C4" w14:textId="77777777" w:rsidR="004E3ADA" w:rsidRDefault="004E3ADA" w:rsidP="001009AE">
            <w:pPr>
              <w:pStyle w:val="NoSpacing"/>
              <w:rPr>
                <w:sz w:val="20"/>
              </w:rPr>
            </w:pPr>
            <w:r w:rsidRPr="00C856F5">
              <w:rPr>
                <w:i/>
                <w:sz w:val="20"/>
              </w:rPr>
              <w:t>Rationale</w:t>
            </w:r>
            <w:r>
              <w:rPr>
                <w:sz w:val="20"/>
              </w:rPr>
              <w:t>:</w:t>
            </w:r>
          </w:p>
          <w:p w14:paraId="65E4F913" w14:textId="266CCDDD" w:rsidR="00C16E50" w:rsidRDefault="004E3ADA" w:rsidP="00292426">
            <w:pPr>
              <w:pStyle w:val="NoSpacing"/>
              <w:rPr>
                <w:szCs w:val="20"/>
              </w:rPr>
            </w:pPr>
            <w:r w:rsidRPr="005A0032">
              <w:rPr>
                <w:szCs w:val="20"/>
              </w:rPr>
              <w:t xml:space="preserve">Some </w:t>
            </w:r>
            <w:r w:rsidR="00212C71" w:rsidRPr="00957E58">
              <w:rPr>
                <w:szCs w:val="20"/>
              </w:rPr>
              <w:t xml:space="preserve">antifouling systems </w:t>
            </w:r>
            <w:r w:rsidRPr="00957E58">
              <w:rPr>
                <w:szCs w:val="20"/>
              </w:rPr>
              <w:t>can</w:t>
            </w:r>
            <w:r w:rsidRPr="005A0032">
              <w:rPr>
                <w:szCs w:val="20"/>
              </w:rPr>
              <w:t xml:space="preserve"> cause environmental </w:t>
            </w:r>
            <w:r w:rsidR="00EB75C0">
              <w:rPr>
                <w:szCs w:val="20"/>
              </w:rPr>
              <w:t xml:space="preserve">problems: </w:t>
            </w:r>
            <w:r w:rsidR="00CE5B6B">
              <w:rPr>
                <w:szCs w:val="20"/>
              </w:rPr>
              <w:t>for example, one</w:t>
            </w:r>
            <w:r w:rsidR="00EB75C0" w:rsidRPr="00EB75C0">
              <w:rPr>
                <w:szCs w:val="20"/>
              </w:rPr>
              <w:t xml:space="preserve"> of the most effective anti-fouling paints, developed in the 1960s, contains the organotin </w:t>
            </w:r>
            <w:proofErr w:type="spellStart"/>
            <w:r w:rsidR="00EB75C0" w:rsidRPr="00EB75C0">
              <w:rPr>
                <w:szCs w:val="20"/>
              </w:rPr>
              <w:t>tributylin</w:t>
            </w:r>
            <w:proofErr w:type="spellEnd"/>
            <w:r w:rsidR="00EB75C0" w:rsidRPr="00EB75C0">
              <w:rPr>
                <w:szCs w:val="20"/>
              </w:rPr>
              <w:t xml:space="preserve"> (TBT), which has been proven to cause deformations in oysters and sex changes in whelks.</w:t>
            </w:r>
            <w:r w:rsidR="00EB75C0">
              <w:rPr>
                <w:szCs w:val="20"/>
              </w:rPr>
              <w:t xml:space="preserve"> </w:t>
            </w:r>
            <w:r w:rsidR="00C16E50">
              <w:rPr>
                <w:szCs w:val="20"/>
              </w:rPr>
              <w:t xml:space="preserve">TBT was indeed banned in 2008. However, other biocides </w:t>
            </w:r>
            <w:r w:rsidR="00C16E50" w:rsidRPr="00C16E50">
              <w:rPr>
                <w:szCs w:val="20"/>
              </w:rPr>
              <w:t>are used in antifouling system</w:t>
            </w:r>
            <w:r w:rsidR="008548DD">
              <w:rPr>
                <w:szCs w:val="20"/>
              </w:rPr>
              <w:t>s,</w:t>
            </w:r>
            <w:r w:rsidR="00C16E50" w:rsidRPr="00C16E50">
              <w:rPr>
                <w:szCs w:val="20"/>
              </w:rPr>
              <w:t xml:space="preserve"> despite their potential impacts on</w:t>
            </w:r>
            <w:r w:rsidR="00C16E50">
              <w:rPr>
                <w:szCs w:val="20"/>
              </w:rPr>
              <w:t xml:space="preserve"> </w:t>
            </w:r>
            <w:r w:rsidR="00C16E50" w:rsidRPr="00C16E50">
              <w:rPr>
                <w:szCs w:val="20"/>
              </w:rPr>
              <w:t>the marine ecosystems</w:t>
            </w:r>
            <w:r w:rsidR="00C16E50">
              <w:rPr>
                <w:szCs w:val="20"/>
              </w:rPr>
              <w:t xml:space="preserve"> (</w:t>
            </w:r>
            <w:r w:rsidR="006C1869">
              <w:rPr>
                <w:szCs w:val="20"/>
              </w:rPr>
              <w:t>d</w:t>
            </w:r>
            <w:r w:rsidR="00C16E50">
              <w:rPr>
                <w:szCs w:val="20"/>
              </w:rPr>
              <w:t>e Castro et al., 2018).</w:t>
            </w:r>
            <w:r w:rsidR="00337B1F">
              <w:rPr>
                <w:szCs w:val="20"/>
              </w:rPr>
              <w:t xml:space="preserve"> For this reason, the d</w:t>
            </w:r>
            <w:r w:rsidR="00337B1F" w:rsidRPr="00337B1F">
              <w:rPr>
                <w:szCs w:val="20"/>
              </w:rPr>
              <w:t xml:space="preserve">evelopment of </w:t>
            </w:r>
            <w:r w:rsidR="00337B1F">
              <w:rPr>
                <w:szCs w:val="20"/>
              </w:rPr>
              <w:t>n</w:t>
            </w:r>
            <w:r w:rsidR="00337B1F" w:rsidRPr="00337B1F">
              <w:rPr>
                <w:szCs w:val="20"/>
              </w:rPr>
              <w:t xml:space="preserve">ew </w:t>
            </w:r>
            <w:r w:rsidR="00337B1F">
              <w:rPr>
                <w:szCs w:val="20"/>
              </w:rPr>
              <w:t>n</w:t>
            </w:r>
            <w:r w:rsidR="00337B1F" w:rsidRPr="00337B1F">
              <w:rPr>
                <w:szCs w:val="20"/>
              </w:rPr>
              <w:t>on-</w:t>
            </w:r>
            <w:r w:rsidR="00337B1F">
              <w:rPr>
                <w:szCs w:val="20"/>
              </w:rPr>
              <w:t>t</w:t>
            </w:r>
            <w:r w:rsidR="00337B1F" w:rsidRPr="00337B1F">
              <w:rPr>
                <w:szCs w:val="20"/>
              </w:rPr>
              <w:t xml:space="preserve">oxic </w:t>
            </w:r>
            <w:r w:rsidR="00337B1F">
              <w:rPr>
                <w:szCs w:val="20"/>
              </w:rPr>
              <w:t>a</w:t>
            </w:r>
            <w:r w:rsidR="00337B1F" w:rsidRPr="00337B1F">
              <w:rPr>
                <w:szCs w:val="20"/>
              </w:rPr>
              <w:t>ntifouling</w:t>
            </w:r>
            <w:r w:rsidR="00337B1F">
              <w:rPr>
                <w:szCs w:val="20"/>
              </w:rPr>
              <w:t xml:space="preserve"> s</w:t>
            </w:r>
            <w:r w:rsidR="00337B1F" w:rsidRPr="00337B1F">
              <w:rPr>
                <w:szCs w:val="20"/>
              </w:rPr>
              <w:t>olutions</w:t>
            </w:r>
            <w:r w:rsidR="00337B1F">
              <w:rPr>
                <w:szCs w:val="20"/>
              </w:rPr>
              <w:t xml:space="preserve"> is promoted.</w:t>
            </w:r>
            <w:r w:rsidR="00292426">
              <w:t xml:space="preserve"> </w:t>
            </w:r>
            <w:r w:rsidR="00292426" w:rsidRPr="00292426">
              <w:rPr>
                <w:szCs w:val="20"/>
              </w:rPr>
              <w:t>Although chemical treatments, the use of heat or of UV light all work</w:t>
            </w:r>
            <w:r w:rsidR="008548DD">
              <w:rPr>
                <w:szCs w:val="20"/>
              </w:rPr>
              <w:t xml:space="preserve"> as anti-fouling</w:t>
            </w:r>
            <w:r w:rsidR="00292426" w:rsidRPr="00292426">
              <w:rPr>
                <w:szCs w:val="20"/>
              </w:rPr>
              <w:t>, they can be costly or pose health</w:t>
            </w:r>
            <w:r w:rsidR="00292426">
              <w:rPr>
                <w:szCs w:val="20"/>
              </w:rPr>
              <w:t xml:space="preserve"> </w:t>
            </w:r>
            <w:r w:rsidR="00292426" w:rsidRPr="00292426">
              <w:rPr>
                <w:szCs w:val="20"/>
              </w:rPr>
              <w:t>and safety risks</w:t>
            </w:r>
            <w:r w:rsidR="008548DD">
              <w:rPr>
                <w:szCs w:val="20"/>
              </w:rPr>
              <w:t>,</w:t>
            </w:r>
            <w:r w:rsidR="00292426" w:rsidRPr="00292426">
              <w:rPr>
                <w:szCs w:val="20"/>
              </w:rPr>
              <w:t xml:space="preserve"> and also increase corrosion of hulls</w:t>
            </w:r>
            <w:r w:rsidR="00292426">
              <w:rPr>
                <w:szCs w:val="20"/>
              </w:rPr>
              <w:t xml:space="preserve"> (</w:t>
            </w:r>
            <w:r w:rsidR="006C1869">
              <w:rPr>
                <w:szCs w:val="20"/>
              </w:rPr>
              <w:t>d</w:t>
            </w:r>
            <w:r w:rsidR="00292426">
              <w:rPr>
                <w:szCs w:val="20"/>
              </w:rPr>
              <w:t xml:space="preserve">e Castro et </w:t>
            </w:r>
            <w:r w:rsidR="0059759C">
              <w:rPr>
                <w:szCs w:val="20"/>
              </w:rPr>
              <w:t>a</w:t>
            </w:r>
            <w:r w:rsidR="00292426">
              <w:rPr>
                <w:szCs w:val="20"/>
              </w:rPr>
              <w:t>l., 2018).</w:t>
            </w:r>
          </w:p>
          <w:p w14:paraId="67841324" w14:textId="02BFEE10" w:rsidR="00A328CA" w:rsidRPr="002B6463" w:rsidRDefault="00A328CA" w:rsidP="00DC79B7">
            <w:pPr>
              <w:pStyle w:val="NoSpacing"/>
              <w:rPr>
                <w:sz w:val="20"/>
              </w:rPr>
            </w:pPr>
          </w:p>
        </w:tc>
      </w:tr>
      <w:tr w:rsidR="004E3ADA" w:rsidRPr="00C75EDD" w14:paraId="51F9DAF9" w14:textId="77777777" w:rsidTr="001009AE">
        <w:tc>
          <w:tcPr>
            <w:tcW w:w="3295" w:type="dxa"/>
            <w:shd w:val="clear" w:color="auto" w:fill="DBE5F1" w:themeFill="accent1" w:themeFillTint="33"/>
          </w:tcPr>
          <w:p w14:paraId="1DFA804F" w14:textId="77777777" w:rsidR="004E3ADA" w:rsidRPr="0039672E" w:rsidRDefault="004E3ADA" w:rsidP="001009AE">
            <w:pPr>
              <w:pStyle w:val="NoSpacing"/>
              <w:rPr>
                <w:b/>
              </w:rPr>
            </w:pPr>
            <w:r w:rsidRPr="0039672E">
              <w:rPr>
                <w:b/>
              </w:rPr>
              <w:t>Acceptability to stakeholders</w:t>
            </w:r>
          </w:p>
          <w:p w14:paraId="2E1921A1" w14:textId="77777777" w:rsidR="004E3ADA" w:rsidRDefault="004E3ADA" w:rsidP="001009AE">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152BE98B" w14:textId="77777777" w:rsidR="004E3ADA" w:rsidRDefault="004E3ADA" w:rsidP="001009AE">
            <w:pPr>
              <w:pStyle w:val="NoSpacing"/>
              <w:rPr>
                <w:sz w:val="20"/>
              </w:rPr>
            </w:pPr>
          </w:p>
          <w:p w14:paraId="50AB3AFC" w14:textId="77777777" w:rsidR="004E3ADA" w:rsidRPr="002B6463" w:rsidRDefault="004E3ADA" w:rsidP="001009AE">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4E3ADA" w14:paraId="2D110138" w14:textId="77777777" w:rsidTr="001009AE">
              <w:tc>
                <w:tcPr>
                  <w:tcW w:w="2116" w:type="dxa"/>
                </w:tcPr>
                <w:p w14:paraId="5402A5F2" w14:textId="77777777" w:rsidR="004E3ADA" w:rsidRPr="002E17F6" w:rsidRDefault="004E3ADA" w:rsidP="001009AE">
                  <w:pPr>
                    <w:pStyle w:val="NoSpacing"/>
                    <w:rPr>
                      <w:b/>
                      <w:i/>
                      <w:sz w:val="20"/>
                    </w:rPr>
                  </w:pPr>
                  <w:r w:rsidRPr="002E17F6">
                    <w:rPr>
                      <w:b/>
                      <w:i/>
                      <w:sz w:val="20"/>
                    </w:rPr>
                    <w:t>Acceptability to stakeholders</w:t>
                  </w:r>
                </w:p>
              </w:tc>
              <w:tc>
                <w:tcPr>
                  <w:tcW w:w="1701" w:type="dxa"/>
                </w:tcPr>
                <w:p w14:paraId="04A50AF0" w14:textId="77777777" w:rsidR="004E3ADA" w:rsidRDefault="004E3ADA" w:rsidP="001009AE">
                  <w:pPr>
                    <w:pStyle w:val="NoSpacing"/>
                    <w:jc w:val="right"/>
                    <w:rPr>
                      <w:i/>
                      <w:sz w:val="20"/>
                    </w:rPr>
                  </w:pPr>
                  <w:r>
                    <w:rPr>
                      <w:i/>
                      <w:sz w:val="20"/>
                    </w:rPr>
                    <w:t>Acceptable</w:t>
                  </w:r>
                </w:p>
              </w:tc>
              <w:tc>
                <w:tcPr>
                  <w:tcW w:w="425" w:type="dxa"/>
                  <w:shd w:val="clear" w:color="auto" w:fill="DBE5F1" w:themeFill="accent1" w:themeFillTint="33"/>
                </w:tcPr>
                <w:p w14:paraId="4AA13A61" w14:textId="21E6E6D4" w:rsidR="004E3ADA" w:rsidRDefault="009019B9" w:rsidP="001009AE">
                  <w:pPr>
                    <w:pStyle w:val="NoSpacing"/>
                    <w:jc w:val="right"/>
                    <w:rPr>
                      <w:i/>
                      <w:sz w:val="20"/>
                    </w:rPr>
                  </w:pPr>
                  <w:r>
                    <w:rPr>
                      <w:i/>
                      <w:sz w:val="20"/>
                    </w:rPr>
                    <w:t>X</w:t>
                  </w:r>
                </w:p>
              </w:tc>
              <w:tc>
                <w:tcPr>
                  <w:tcW w:w="2268" w:type="dxa"/>
                </w:tcPr>
                <w:p w14:paraId="264986FD" w14:textId="77777777" w:rsidR="004E3ADA" w:rsidRDefault="004E3ADA" w:rsidP="001009AE">
                  <w:pPr>
                    <w:pStyle w:val="NoSpacing"/>
                    <w:jc w:val="right"/>
                    <w:rPr>
                      <w:i/>
                      <w:sz w:val="20"/>
                    </w:rPr>
                  </w:pPr>
                  <w:r>
                    <w:rPr>
                      <w:i/>
                      <w:sz w:val="20"/>
                    </w:rPr>
                    <w:t>Neutral or mixed</w:t>
                  </w:r>
                </w:p>
              </w:tc>
              <w:tc>
                <w:tcPr>
                  <w:tcW w:w="425" w:type="dxa"/>
                  <w:shd w:val="clear" w:color="auto" w:fill="DBE5F1" w:themeFill="accent1" w:themeFillTint="33"/>
                </w:tcPr>
                <w:p w14:paraId="6DCC5307" w14:textId="75AA50B3" w:rsidR="004E3ADA" w:rsidRDefault="004E3ADA" w:rsidP="001009AE">
                  <w:pPr>
                    <w:pStyle w:val="NoSpacing"/>
                    <w:jc w:val="right"/>
                    <w:rPr>
                      <w:i/>
                      <w:sz w:val="20"/>
                    </w:rPr>
                  </w:pPr>
                </w:p>
              </w:tc>
              <w:tc>
                <w:tcPr>
                  <w:tcW w:w="2002" w:type="dxa"/>
                </w:tcPr>
                <w:p w14:paraId="529A1972" w14:textId="77777777" w:rsidR="004E3ADA" w:rsidRDefault="004E3ADA" w:rsidP="001009AE">
                  <w:pPr>
                    <w:pStyle w:val="NoSpacing"/>
                    <w:jc w:val="right"/>
                    <w:rPr>
                      <w:i/>
                      <w:sz w:val="20"/>
                    </w:rPr>
                  </w:pPr>
                  <w:r>
                    <w:rPr>
                      <w:i/>
                      <w:sz w:val="20"/>
                    </w:rPr>
                    <w:t>Unacceptable</w:t>
                  </w:r>
                </w:p>
              </w:tc>
              <w:tc>
                <w:tcPr>
                  <w:tcW w:w="408" w:type="dxa"/>
                  <w:shd w:val="clear" w:color="auto" w:fill="DBE5F1" w:themeFill="accent1" w:themeFillTint="33"/>
                </w:tcPr>
                <w:p w14:paraId="7CCF0573" w14:textId="77777777" w:rsidR="004E3ADA" w:rsidRDefault="004E3ADA" w:rsidP="001009AE">
                  <w:pPr>
                    <w:pStyle w:val="NoSpacing"/>
                    <w:rPr>
                      <w:i/>
                      <w:sz w:val="20"/>
                    </w:rPr>
                  </w:pPr>
                </w:p>
              </w:tc>
            </w:tr>
          </w:tbl>
          <w:p w14:paraId="00687F50" w14:textId="77777777" w:rsidR="004E3ADA" w:rsidRDefault="004E3ADA" w:rsidP="001009AE">
            <w:pPr>
              <w:pStyle w:val="NoSpacing"/>
              <w:rPr>
                <w:i/>
                <w:sz w:val="20"/>
              </w:rPr>
            </w:pPr>
          </w:p>
          <w:p w14:paraId="43E8DBDB" w14:textId="77777777" w:rsidR="004E3ADA" w:rsidRDefault="004E3ADA" w:rsidP="001009AE">
            <w:pPr>
              <w:pStyle w:val="NoSpacing"/>
              <w:rPr>
                <w:sz w:val="20"/>
              </w:rPr>
            </w:pPr>
            <w:r w:rsidRPr="00C856F5">
              <w:rPr>
                <w:i/>
                <w:sz w:val="20"/>
              </w:rPr>
              <w:t>Rationale</w:t>
            </w:r>
            <w:r>
              <w:rPr>
                <w:sz w:val="20"/>
              </w:rPr>
              <w:t>:</w:t>
            </w:r>
          </w:p>
          <w:p w14:paraId="624D7E79" w14:textId="408EFBD4" w:rsidR="004E3ADA" w:rsidRPr="00382E7D" w:rsidRDefault="004E3ADA" w:rsidP="006B5814">
            <w:pPr>
              <w:pStyle w:val="NoSpacing"/>
            </w:pPr>
            <w:r w:rsidRPr="005A0032">
              <w:t xml:space="preserve">There could be some resistance </w:t>
            </w:r>
            <w:r w:rsidR="00F75F98">
              <w:t xml:space="preserve">to </w:t>
            </w:r>
            <w:r w:rsidR="006B5814">
              <w:t>some biofouling</w:t>
            </w:r>
            <w:r w:rsidR="00F75F98">
              <w:t xml:space="preserve"> measures by </w:t>
            </w:r>
            <w:r w:rsidRPr="005A0032">
              <w:rPr>
                <w:szCs w:val="20"/>
              </w:rPr>
              <w:t xml:space="preserve">ship </w:t>
            </w:r>
            <w:r>
              <w:rPr>
                <w:szCs w:val="20"/>
              </w:rPr>
              <w:t xml:space="preserve">owners or </w:t>
            </w:r>
            <w:r w:rsidRPr="005A0032">
              <w:rPr>
                <w:szCs w:val="20"/>
              </w:rPr>
              <w:t>companies</w:t>
            </w:r>
            <w:r w:rsidRPr="005A0032">
              <w:t xml:space="preserve"> </w:t>
            </w:r>
            <w:r>
              <w:t>due to</w:t>
            </w:r>
            <w:r w:rsidRPr="005A0032">
              <w:t xml:space="preserve"> the cost </w:t>
            </w:r>
            <w:r>
              <w:t xml:space="preserve">and type </w:t>
            </w:r>
            <w:r w:rsidRPr="005A0032">
              <w:t>of systems to be applied on the ship.</w:t>
            </w:r>
            <w:r w:rsidR="00FD0003">
              <w:t xml:space="preserve"> However, </w:t>
            </w:r>
            <w:r w:rsidR="00357C74">
              <w:t xml:space="preserve">as mentioned above, </w:t>
            </w:r>
            <w:r w:rsidR="00FD0003">
              <w:t xml:space="preserve">effective anti-fouling </w:t>
            </w:r>
            <w:r w:rsidR="007E2716">
              <w:t>systems can save money</w:t>
            </w:r>
            <w:r w:rsidR="00357C74">
              <w:t xml:space="preserve"> by</w:t>
            </w:r>
            <w:r w:rsidR="007E2716">
              <w:t xml:space="preserve"> reducing fuel consumption and this can favour the accep</w:t>
            </w:r>
            <w:r w:rsidR="009019B9">
              <w:t>tability of the measure.</w:t>
            </w:r>
            <w:r w:rsidR="007E2716">
              <w:t xml:space="preserve"> </w:t>
            </w:r>
          </w:p>
        </w:tc>
      </w:tr>
      <w:tr w:rsidR="004E3ADA" w14:paraId="393DC1DD" w14:textId="77777777" w:rsidTr="001009AE">
        <w:tc>
          <w:tcPr>
            <w:tcW w:w="3295" w:type="dxa"/>
            <w:shd w:val="clear" w:color="auto" w:fill="DBE5F1" w:themeFill="accent1" w:themeFillTint="33"/>
          </w:tcPr>
          <w:p w14:paraId="79525553" w14:textId="77777777" w:rsidR="004E3ADA" w:rsidRPr="0039672E" w:rsidRDefault="004E3ADA" w:rsidP="001009AE">
            <w:pPr>
              <w:pStyle w:val="NoSpacing"/>
              <w:rPr>
                <w:b/>
              </w:rPr>
            </w:pPr>
            <w:r w:rsidRPr="0039672E">
              <w:rPr>
                <w:b/>
              </w:rPr>
              <w:lastRenderedPageBreak/>
              <w:t>Additional cost information</w:t>
            </w:r>
            <w:r>
              <w:rPr>
                <w:b/>
              </w:rPr>
              <w:t xml:space="preserve"> </w:t>
            </w:r>
            <w:r>
              <w:rPr>
                <w:b/>
                <w:vertAlign w:val="superscript"/>
              </w:rPr>
              <w:t>1</w:t>
            </w:r>
          </w:p>
          <w:p w14:paraId="66A04D4E" w14:textId="77777777" w:rsidR="004E3ADA" w:rsidRDefault="004E3ADA" w:rsidP="001009AE">
            <w:pPr>
              <w:rPr>
                <w:sz w:val="20"/>
              </w:rPr>
            </w:pPr>
            <w:r>
              <w:rPr>
                <w:sz w:val="20"/>
              </w:rPr>
              <w:t xml:space="preserve">When not already included above, or in the species Risk Assessment. </w:t>
            </w:r>
          </w:p>
          <w:p w14:paraId="2EC2A8CA" w14:textId="77777777" w:rsidR="004E3ADA" w:rsidRPr="00E662A4" w:rsidRDefault="004E3ADA" w:rsidP="001009AE">
            <w:pPr>
              <w:rPr>
                <w:sz w:val="20"/>
              </w:rPr>
            </w:pPr>
            <w:r>
              <w:rPr>
                <w:sz w:val="20"/>
              </w:rPr>
              <w:t xml:space="preserve">- </w:t>
            </w:r>
            <w:r w:rsidRPr="00E662A4">
              <w:rPr>
                <w:sz w:val="20"/>
              </w:rPr>
              <w:t>implementation cost for Member States</w:t>
            </w:r>
          </w:p>
          <w:p w14:paraId="7CD22618" w14:textId="77777777" w:rsidR="004E3ADA" w:rsidRPr="00E662A4" w:rsidRDefault="004E3ADA" w:rsidP="001009AE">
            <w:pPr>
              <w:rPr>
                <w:sz w:val="20"/>
              </w:rPr>
            </w:pPr>
            <w:r>
              <w:rPr>
                <w:sz w:val="20"/>
              </w:rPr>
              <w:t xml:space="preserve">- </w:t>
            </w:r>
            <w:r w:rsidRPr="00E662A4">
              <w:rPr>
                <w:sz w:val="20"/>
              </w:rPr>
              <w:t>the cost of inaction</w:t>
            </w:r>
          </w:p>
          <w:p w14:paraId="250C6952" w14:textId="77777777" w:rsidR="004E3ADA" w:rsidRPr="00E662A4" w:rsidRDefault="004E3ADA" w:rsidP="001009AE">
            <w:pPr>
              <w:rPr>
                <w:sz w:val="20"/>
              </w:rPr>
            </w:pPr>
            <w:r>
              <w:rPr>
                <w:sz w:val="20"/>
              </w:rPr>
              <w:t xml:space="preserve">- </w:t>
            </w:r>
            <w:r w:rsidRPr="00E662A4">
              <w:rPr>
                <w:sz w:val="20"/>
              </w:rPr>
              <w:t>the cost-effectiveness</w:t>
            </w:r>
          </w:p>
          <w:p w14:paraId="68313957" w14:textId="77777777" w:rsidR="004E3ADA" w:rsidRDefault="004E3ADA" w:rsidP="001009AE">
            <w:pPr>
              <w:pStyle w:val="NoSpacing"/>
              <w:rPr>
                <w:sz w:val="20"/>
              </w:rPr>
            </w:pPr>
            <w:r>
              <w:rPr>
                <w:sz w:val="20"/>
              </w:rPr>
              <w:t xml:space="preserve">- </w:t>
            </w:r>
            <w:r w:rsidRPr="00E662A4">
              <w:rPr>
                <w:sz w:val="20"/>
              </w:rPr>
              <w:t>the socio-economic aspects</w:t>
            </w:r>
          </w:p>
          <w:p w14:paraId="4371B48B" w14:textId="77777777" w:rsidR="004E3ADA" w:rsidRDefault="004E3ADA" w:rsidP="001009AE">
            <w:pPr>
              <w:pStyle w:val="NoSpacing"/>
              <w:rPr>
                <w:sz w:val="20"/>
              </w:rPr>
            </w:pPr>
          </w:p>
          <w:p w14:paraId="7C280E96" w14:textId="77777777" w:rsidR="004E3ADA" w:rsidRPr="002B6463" w:rsidRDefault="004E3ADA" w:rsidP="001009AE">
            <w:pPr>
              <w:pStyle w:val="NoSpacing"/>
              <w:rPr>
                <w:sz w:val="20"/>
              </w:rPr>
            </w:pPr>
            <w:r>
              <w:rPr>
                <w:sz w:val="20"/>
              </w:rPr>
              <w:t>Include quantitative &amp;/or qualitative data, and case studies (incl. from countries outside the EU).</w:t>
            </w:r>
          </w:p>
        </w:tc>
        <w:tc>
          <w:tcPr>
            <w:tcW w:w="10653" w:type="dxa"/>
          </w:tcPr>
          <w:p w14:paraId="3C1D0DA4" w14:textId="7D9F7E12" w:rsidR="00DC79B7" w:rsidRDefault="004E3ADA" w:rsidP="005834E2">
            <w:pPr>
              <w:pStyle w:val="NoSpacing"/>
            </w:pPr>
            <w:r w:rsidRPr="005A0032">
              <w:t xml:space="preserve">The implementation cost </w:t>
            </w:r>
            <w:r>
              <w:t xml:space="preserve">for Member States </w:t>
            </w:r>
            <w:r w:rsidRPr="005A0032">
              <w:t xml:space="preserve">depends </w:t>
            </w:r>
            <w:r>
              <w:t>on</w:t>
            </w:r>
            <w:r w:rsidRPr="005A0032">
              <w:t xml:space="preserve"> the number of ships </w:t>
            </w:r>
            <w:r>
              <w:t xml:space="preserve">to be treated </w:t>
            </w:r>
            <w:r w:rsidRPr="005A0032">
              <w:t>and the adopted systems. Surely, the cost of inaction would be high</w:t>
            </w:r>
            <w:r w:rsidR="0004416A">
              <w:t>er</w:t>
            </w:r>
            <w:r>
              <w:t>,</w:t>
            </w:r>
            <w:r w:rsidRPr="005A0032">
              <w:t xml:space="preserve"> as new potential invasive species will continue to arrive</w:t>
            </w:r>
            <w:r>
              <w:t xml:space="preserve"> and need to be managed</w:t>
            </w:r>
            <w:r w:rsidRPr="005A0032">
              <w:t xml:space="preserve">. </w:t>
            </w:r>
            <w:r w:rsidR="00984D2D">
              <w:t xml:space="preserve">Economic effects of biofouling go far beyond the cost of control and eradication efforts. They encompass added maintenance costs to shipping and marine infrastructure, damage to valuable fisheries and aquaculture, and added fuel and emission costs (Galil et al., 2019). </w:t>
            </w:r>
          </w:p>
          <w:p w14:paraId="72FCDD80" w14:textId="502A8D53" w:rsidR="00DC79B7" w:rsidRDefault="00DC79B7" w:rsidP="00DC79B7">
            <w:pPr>
              <w:pStyle w:val="NoSpacing"/>
              <w:rPr>
                <w:sz w:val="20"/>
              </w:rPr>
            </w:pPr>
            <w:r w:rsidRPr="00DC79B7">
              <w:rPr>
                <w:szCs w:val="20"/>
              </w:rPr>
              <w:t xml:space="preserve">The costs differ according to the adopted systems used, but Fernandes et al. (2016) estimated that the </w:t>
            </w:r>
            <w:r w:rsidRPr="00DC79B7">
              <w:t xml:space="preserve">proportion of the overall costs that </w:t>
            </w:r>
            <w:r w:rsidRPr="00DC79B7">
              <w:rPr>
                <w:szCs w:val="20"/>
              </w:rPr>
              <w:t xml:space="preserve">mitigation measures for management </w:t>
            </w:r>
            <w:r w:rsidRPr="00DC79B7">
              <w:t>of</w:t>
            </w:r>
            <w:r w:rsidRPr="00DC79B7">
              <w:rPr>
                <w:szCs w:val="20"/>
              </w:rPr>
              <w:t xml:space="preserve"> biofouling </w:t>
            </w:r>
            <w:r w:rsidR="000F1E13">
              <w:t xml:space="preserve">in Europe </w:t>
            </w:r>
            <w:r w:rsidRPr="00DC79B7">
              <w:t xml:space="preserve">will represent </w:t>
            </w:r>
            <w:r w:rsidRPr="00DC79B7">
              <w:rPr>
                <w:szCs w:val="20"/>
              </w:rPr>
              <w:t>on shipping implementing the guidelines recommended in the coming years can vary between 0.28 to 1.01, depending on the country of ship origin and type of vessel.</w:t>
            </w:r>
            <w:r w:rsidRPr="002B6463">
              <w:rPr>
                <w:sz w:val="20"/>
              </w:rPr>
              <w:t xml:space="preserve"> </w:t>
            </w:r>
          </w:p>
          <w:p w14:paraId="0953EE85" w14:textId="77777777" w:rsidR="00DC79B7" w:rsidRDefault="00DC79B7" w:rsidP="00DC79B7">
            <w:pPr>
              <w:pStyle w:val="NoSpacing"/>
              <w:rPr>
                <w:sz w:val="20"/>
              </w:rPr>
            </w:pPr>
          </w:p>
          <w:p w14:paraId="15D0CF7A" w14:textId="16CFC74A" w:rsidR="00DC79B7" w:rsidRDefault="007C4EA5" w:rsidP="005834E2">
            <w:pPr>
              <w:pStyle w:val="NoSpacing"/>
            </w:pPr>
            <w:r>
              <w:t xml:space="preserve">According to Branson (2012), </w:t>
            </w:r>
            <w:r w:rsidR="00B2598D">
              <w:t xml:space="preserve">in Australia and California, </w:t>
            </w:r>
            <w:r>
              <w:t xml:space="preserve">in total over the 50 years </w:t>
            </w:r>
            <w:r w:rsidR="00B2598D">
              <w:t xml:space="preserve">from </w:t>
            </w:r>
            <w:r>
              <w:t xml:space="preserve">2013 to 2062, the </w:t>
            </w:r>
            <w:r w:rsidRPr="00B2598D">
              <w:t xml:space="preserve">adoption of mandatory </w:t>
            </w:r>
            <w:r w:rsidR="00292426" w:rsidRPr="00B2598D">
              <w:t xml:space="preserve">and voluntary </w:t>
            </w:r>
            <w:r w:rsidRPr="00B2598D">
              <w:t>standards to manage biofouling could deliver additional net benefits of 520 million</w:t>
            </w:r>
            <w:r w:rsidR="005834E2">
              <w:t xml:space="preserve"> USD</w:t>
            </w:r>
            <w:r w:rsidR="005834E2" w:rsidRPr="009776FB">
              <w:t xml:space="preserve"> </w:t>
            </w:r>
            <w:r w:rsidR="005834E2">
              <w:t>(ca. 470 million EUR)</w:t>
            </w:r>
            <w:r w:rsidR="00292426" w:rsidRPr="00B2598D">
              <w:t xml:space="preserve">, </w:t>
            </w:r>
            <w:r w:rsidRPr="00B2598D">
              <w:t>and 865 million</w:t>
            </w:r>
            <w:r w:rsidR="005834E2">
              <w:t xml:space="preserve"> USD</w:t>
            </w:r>
            <w:r w:rsidR="005834E2" w:rsidRPr="009776FB">
              <w:t xml:space="preserve"> </w:t>
            </w:r>
            <w:r w:rsidR="005834E2">
              <w:t>(ca. 780 million EUR)</w:t>
            </w:r>
            <w:r w:rsidR="00B2598D">
              <w:t>,</w:t>
            </w:r>
            <w:r w:rsidRPr="00B2598D">
              <w:t xml:space="preserve"> </w:t>
            </w:r>
            <w:r w:rsidR="00B2598D" w:rsidRPr="00B2598D">
              <w:t>respectively</w:t>
            </w:r>
            <w:r w:rsidR="00B2598D">
              <w:t xml:space="preserve"> (considering to avoid the potential of IAS on initial incursion response, aquaculture, commercial and recreational fishing, coastal infrastructure, marine tourism and recreation, recreational use of beaches, human health and indigenous biodiversity)</w:t>
            </w:r>
            <w:r w:rsidR="00B2598D" w:rsidRPr="00B2598D">
              <w:t>.</w:t>
            </w:r>
          </w:p>
          <w:p w14:paraId="27C48562" w14:textId="5EB73EE8" w:rsidR="00DC79B7" w:rsidRDefault="00DC79B7" w:rsidP="00DC79B7">
            <w:pPr>
              <w:pStyle w:val="NoSpacing"/>
              <w:rPr>
                <w:sz w:val="20"/>
              </w:rPr>
            </w:pPr>
          </w:p>
        </w:tc>
      </w:tr>
      <w:tr w:rsidR="004E3ADA" w14:paraId="28E15F07" w14:textId="77777777" w:rsidTr="001009AE">
        <w:tc>
          <w:tcPr>
            <w:tcW w:w="3295" w:type="dxa"/>
            <w:tcBorders>
              <w:bottom w:val="single" w:sz="4" w:space="0" w:color="auto"/>
            </w:tcBorders>
            <w:shd w:val="clear" w:color="auto" w:fill="DBE5F1" w:themeFill="accent1" w:themeFillTint="33"/>
          </w:tcPr>
          <w:p w14:paraId="11431D25" w14:textId="77777777" w:rsidR="004E3ADA" w:rsidRDefault="004E3ADA" w:rsidP="001009AE">
            <w:pPr>
              <w:pStyle w:val="NoSpacing"/>
              <w:rPr>
                <w:b/>
              </w:rPr>
            </w:pPr>
            <w:r w:rsidRPr="002B6463">
              <w:rPr>
                <w:b/>
              </w:rPr>
              <w:t>Level of confidence</w:t>
            </w:r>
            <w:r>
              <w:rPr>
                <w:b/>
              </w:rPr>
              <w:t xml:space="preserve"> on the information provided </w:t>
            </w:r>
            <w:r>
              <w:rPr>
                <w:b/>
                <w:vertAlign w:val="superscript"/>
              </w:rPr>
              <w:t>2</w:t>
            </w:r>
          </w:p>
          <w:p w14:paraId="56C1D075" w14:textId="77777777" w:rsidR="004E3ADA" w:rsidRPr="00DE32F5" w:rsidRDefault="004E3ADA" w:rsidP="001009AE">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6467054C" w14:textId="77777777" w:rsidR="004E3ADA" w:rsidRDefault="004E3ADA" w:rsidP="001009AE">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4E3ADA" w14:paraId="0847FDED" w14:textId="77777777" w:rsidTr="001009AE">
              <w:tc>
                <w:tcPr>
                  <w:tcW w:w="2024" w:type="dxa"/>
                </w:tcPr>
                <w:p w14:paraId="5F432AEB" w14:textId="77777777" w:rsidR="004E3ADA" w:rsidRPr="007C64EE" w:rsidRDefault="004E3ADA" w:rsidP="001009AE">
                  <w:pPr>
                    <w:pStyle w:val="NoSpacing"/>
                    <w:rPr>
                      <w:i/>
                      <w:sz w:val="20"/>
                    </w:rPr>
                  </w:pPr>
                  <w:r>
                    <w:rPr>
                      <w:i/>
                      <w:sz w:val="20"/>
                    </w:rPr>
                    <w:t>Inconclusive</w:t>
                  </w:r>
                </w:p>
              </w:tc>
              <w:tc>
                <w:tcPr>
                  <w:tcW w:w="375" w:type="dxa"/>
                  <w:shd w:val="clear" w:color="auto" w:fill="DBE5F1" w:themeFill="accent1" w:themeFillTint="33"/>
                </w:tcPr>
                <w:p w14:paraId="2ED2724F" w14:textId="77777777" w:rsidR="004E3ADA" w:rsidRDefault="004E3ADA" w:rsidP="001009AE">
                  <w:pPr>
                    <w:pStyle w:val="NoSpacing"/>
                    <w:jc w:val="right"/>
                    <w:rPr>
                      <w:i/>
                      <w:sz w:val="20"/>
                    </w:rPr>
                  </w:pPr>
                </w:p>
              </w:tc>
              <w:tc>
                <w:tcPr>
                  <w:tcW w:w="1559" w:type="dxa"/>
                </w:tcPr>
                <w:p w14:paraId="5A77FA9E" w14:textId="77777777" w:rsidR="004E3ADA" w:rsidRDefault="004E3ADA" w:rsidP="001009AE">
                  <w:pPr>
                    <w:pStyle w:val="NoSpacing"/>
                    <w:jc w:val="right"/>
                    <w:rPr>
                      <w:i/>
                      <w:sz w:val="20"/>
                    </w:rPr>
                  </w:pPr>
                  <w:r>
                    <w:rPr>
                      <w:i/>
                      <w:sz w:val="20"/>
                    </w:rPr>
                    <w:t>Unresolved</w:t>
                  </w:r>
                </w:p>
              </w:tc>
              <w:tc>
                <w:tcPr>
                  <w:tcW w:w="426" w:type="dxa"/>
                  <w:shd w:val="clear" w:color="auto" w:fill="DBE5F1" w:themeFill="accent1" w:themeFillTint="33"/>
                </w:tcPr>
                <w:p w14:paraId="47D668E6" w14:textId="77777777" w:rsidR="004E3ADA" w:rsidRDefault="004E3ADA" w:rsidP="001009AE">
                  <w:pPr>
                    <w:pStyle w:val="NoSpacing"/>
                    <w:jc w:val="right"/>
                    <w:rPr>
                      <w:i/>
                      <w:sz w:val="20"/>
                    </w:rPr>
                  </w:pPr>
                </w:p>
              </w:tc>
              <w:tc>
                <w:tcPr>
                  <w:tcW w:w="2126" w:type="dxa"/>
                </w:tcPr>
                <w:p w14:paraId="07830FCF" w14:textId="77777777" w:rsidR="004E3ADA" w:rsidRDefault="004E3ADA" w:rsidP="001009AE">
                  <w:pPr>
                    <w:pStyle w:val="NoSpacing"/>
                    <w:jc w:val="right"/>
                    <w:rPr>
                      <w:i/>
                      <w:sz w:val="20"/>
                    </w:rPr>
                  </w:pPr>
                  <w:r>
                    <w:rPr>
                      <w:i/>
                      <w:sz w:val="20"/>
                    </w:rPr>
                    <w:t>Established but incomplete</w:t>
                  </w:r>
                </w:p>
              </w:tc>
              <w:tc>
                <w:tcPr>
                  <w:tcW w:w="425" w:type="dxa"/>
                  <w:shd w:val="clear" w:color="auto" w:fill="DBE5F1" w:themeFill="accent1" w:themeFillTint="33"/>
                </w:tcPr>
                <w:p w14:paraId="4A0219EB" w14:textId="77777777" w:rsidR="004E3ADA" w:rsidRDefault="004E3ADA" w:rsidP="001009AE">
                  <w:pPr>
                    <w:pStyle w:val="NoSpacing"/>
                    <w:jc w:val="right"/>
                    <w:rPr>
                      <w:i/>
                      <w:sz w:val="20"/>
                    </w:rPr>
                  </w:pPr>
                  <w:r>
                    <w:rPr>
                      <w:i/>
                      <w:sz w:val="20"/>
                    </w:rPr>
                    <w:t>X</w:t>
                  </w:r>
                </w:p>
              </w:tc>
              <w:tc>
                <w:tcPr>
                  <w:tcW w:w="2268" w:type="dxa"/>
                </w:tcPr>
                <w:p w14:paraId="4DA91C2B" w14:textId="77777777" w:rsidR="004E3ADA" w:rsidRDefault="004E3ADA" w:rsidP="001009AE">
                  <w:pPr>
                    <w:pStyle w:val="NoSpacing"/>
                    <w:jc w:val="right"/>
                    <w:rPr>
                      <w:i/>
                      <w:sz w:val="20"/>
                    </w:rPr>
                  </w:pPr>
                  <w:r>
                    <w:rPr>
                      <w:i/>
                      <w:sz w:val="20"/>
                    </w:rPr>
                    <w:t>Well established</w:t>
                  </w:r>
                </w:p>
              </w:tc>
              <w:tc>
                <w:tcPr>
                  <w:tcW w:w="425" w:type="dxa"/>
                  <w:shd w:val="clear" w:color="auto" w:fill="DBE5F1" w:themeFill="accent1" w:themeFillTint="33"/>
                </w:tcPr>
                <w:p w14:paraId="6BAA889E" w14:textId="77777777" w:rsidR="004E3ADA" w:rsidRDefault="004E3ADA" w:rsidP="001009AE">
                  <w:pPr>
                    <w:pStyle w:val="NoSpacing"/>
                    <w:rPr>
                      <w:i/>
                      <w:sz w:val="20"/>
                    </w:rPr>
                  </w:pPr>
                </w:p>
              </w:tc>
            </w:tr>
          </w:tbl>
          <w:p w14:paraId="4CE52F8F" w14:textId="77777777" w:rsidR="004E3ADA" w:rsidRDefault="004E3ADA" w:rsidP="001009AE">
            <w:pPr>
              <w:pStyle w:val="NoSpacing"/>
              <w:rPr>
                <w:i/>
                <w:sz w:val="20"/>
              </w:rPr>
            </w:pPr>
          </w:p>
          <w:p w14:paraId="0F5E5F36" w14:textId="77777777" w:rsidR="004E3ADA" w:rsidRDefault="004E3ADA" w:rsidP="001009AE">
            <w:pPr>
              <w:pStyle w:val="NoSpacing"/>
              <w:rPr>
                <w:sz w:val="20"/>
              </w:rPr>
            </w:pPr>
            <w:r w:rsidRPr="00C856F5">
              <w:rPr>
                <w:i/>
                <w:sz w:val="20"/>
              </w:rPr>
              <w:t>Rationale</w:t>
            </w:r>
            <w:r>
              <w:rPr>
                <w:sz w:val="20"/>
              </w:rPr>
              <w:t>:</w:t>
            </w:r>
          </w:p>
          <w:p w14:paraId="3277616D" w14:textId="260D7666" w:rsidR="004E3ADA" w:rsidRPr="00C51F64" w:rsidRDefault="004E3ADA" w:rsidP="001009AE">
            <w:pPr>
              <w:pStyle w:val="NoSpacing"/>
              <w:rPr>
                <w:sz w:val="20"/>
                <w:szCs w:val="20"/>
              </w:rPr>
            </w:pPr>
            <w:r w:rsidRPr="005A0032">
              <w:rPr>
                <w:szCs w:val="20"/>
              </w:rPr>
              <w:t xml:space="preserve">Different studies and recent reviews agree on </w:t>
            </w:r>
            <w:r w:rsidR="00263C48">
              <w:rPr>
                <w:szCs w:val="20"/>
              </w:rPr>
              <w:t xml:space="preserve">the </w:t>
            </w:r>
            <w:r w:rsidRPr="005A0032">
              <w:rPr>
                <w:szCs w:val="20"/>
              </w:rPr>
              <w:t>importance</w:t>
            </w:r>
            <w:r w:rsidR="008D5E7C">
              <w:rPr>
                <w:szCs w:val="20"/>
              </w:rPr>
              <w:t xml:space="preserve"> of biofouling management</w:t>
            </w:r>
            <w:r w:rsidRPr="005A0032">
              <w:rPr>
                <w:szCs w:val="20"/>
              </w:rPr>
              <w:t>, even if they recogni</w:t>
            </w:r>
            <w:r>
              <w:rPr>
                <w:szCs w:val="20"/>
              </w:rPr>
              <w:t>s</w:t>
            </w:r>
            <w:r w:rsidRPr="005A0032">
              <w:rPr>
                <w:szCs w:val="20"/>
              </w:rPr>
              <w:t xml:space="preserve">e </w:t>
            </w:r>
            <w:r w:rsidR="006C1869">
              <w:rPr>
                <w:szCs w:val="20"/>
              </w:rPr>
              <w:t>that the measure should be better implemented</w:t>
            </w:r>
            <w:r w:rsidRPr="005A0032">
              <w:rPr>
                <w:szCs w:val="20"/>
              </w:rPr>
              <w:t xml:space="preserve">. There are no specific studies on </w:t>
            </w:r>
            <w:r w:rsidR="00263C48">
              <w:rPr>
                <w:szCs w:val="20"/>
              </w:rPr>
              <w:t xml:space="preserve">the </w:t>
            </w:r>
            <w:r w:rsidRPr="005A0032">
              <w:rPr>
                <w:szCs w:val="20"/>
              </w:rPr>
              <w:t xml:space="preserve">effectiveness of prevention </w:t>
            </w:r>
            <w:r>
              <w:rPr>
                <w:szCs w:val="20"/>
              </w:rPr>
              <w:t xml:space="preserve">of unintentional introductions </w:t>
            </w:r>
            <w:r w:rsidRPr="005A0032">
              <w:rPr>
                <w:szCs w:val="20"/>
              </w:rPr>
              <w:t xml:space="preserve">for Chinese mitten crab by </w:t>
            </w:r>
            <w:r w:rsidR="006C1869">
              <w:rPr>
                <w:szCs w:val="20"/>
              </w:rPr>
              <w:t>biofouling management</w:t>
            </w:r>
            <w:r w:rsidRPr="005A0032">
              <w:rPr>
                <w:szCs w:val="20"/>
              </w:rPr>
              <w:t>.</w:t>
            </w:r>
          </w:p>
        </w:tc>
      </w:tr>
    </w:tbl>
    <w:p w14:paraId="27574B2C" w14:textId="2EDA88FF" w:rsidR="002F5CFE" w:rsidRDefault="002F5CFE"/>
    <w:p w14:paraId="10C66047" w14:textId="5F254EC6" w:rsidR="00062563" w:rsidRDefault="00062563"/>
    <w:tbl>
      <w:tblPr>
        <w:tblStyle w:val="TableGrid"/>
        <w:tblW w:w="0" w:type="auto"/>
        <w:tblLook w:val="04A0" w:firstRow="1" w:lastRow="0" w:firstColumn="1" w:lastColumn="0" w:noHBand="0" w:noVBand="1"/>
      </w:tblPr>
      <w:tblGrid>
        <w:gridCol w:w="3295"/>
        <w:gridCol w:w="10653"/>
      </w:tblGrid>
      <w:tr w:rsidR="002961C5" w:rsidRPr="00346840" w14:paraId="46902B10" w14:textId="77777777" w:rsidTr="004B054C">
        <w:tc>
          <w:tcPr>
            <w:tcW w:w="13948" w:type="dxa"/>
            <w:gridSpan w:val="2"/>
            <w:shd w:val="clear" w:color="auto" w:fill="244061" w:themeFill="accent1" w:themeFillShade="80"/>
          </w:tcPr>
          <w:p w14:paraId="13F55A26" w14:textId="77777777" w:rsidR="002961C5" w:rsidRPr="00346840" w:rsidRDefault="002961C5" w:rsidP="004B054C">
            <w:pPr>
              <w:pStyle w:val="NoSpacing"/>
              <w:rPr>
                <w:rFonts w:cstheme="minorHAnsi"/>
                <w:b/>
                <w:sz w:val="20"/>
                <w:szCs w:val="24"/>
              </w:rPr>
            </w:pPr>
            <w:r>
              <w:rPr>
                <w:rFonts w:eastAsia="Times New Roman"/>
                <w:b/>
                <w:sz w:val="28"/>
              </w:rPr>
              <w:t xml:space="preserve">Prevention of </w:t>
            </w:r>
            <w:r>
              <w:rPr>
                <w:rFonts w:eastAsia="Times New Roman"/>
                <w:b/>
                <w:sz w:val="28"/>
                <w:u w:val="single"/>
              </w:rPr>
              <w:t xml:space="preserve">secondary spread </w:t>
            </w:r>
            <w:r w:rsidRPr="00346840">
              <w:rPr>
                <w:rFonts w:eastAsia="Times New Roman"/>
                <w:b/>
                <w:sz w:val="28"/>
              </w:rPr>
              <w:t>of the species</w:t>
            </w:r>
            <w:r>
              <w:rPr>
                <w:rFonts w:eastAsia="Times New Roman"/>
                <w:b/>
                <w:sz w:val="28"/>
              </w:rPr>
              <w:t xml:space="preserve"> </w:t>
            </w:r>
            <w:r>
              <w:rPr>
                <w:rFonts w:cstheme="minorHAnsi"/>
                <w:sz w:val="20"/>
                <w:szCs w:val="20"/>
              </w:rPr>
              <w:t>– measures for preventing the species spreading once they have been introduced (cf. Article 13 of the IAS Regulation</w:t>
            </w:r>
            <w:r w:rsidRPr="00280410">
              <w:rPr>
                <w:rFonts w:cstheme="minorHAnsi"/>
                <w:sz w:val="20"/>
                <w:szCs w:val="20"/>
              </w:rPr>
              <w:t>)</w:t>
            </w:r>
            <w:r>
              <w:rPr>
                <w:rFonts w:cstheme="minorHAnsi"/>
                <w:sz w:val="20"/>
                <w:szCs w:val="20"/>
              </w:rPr>
              <w:t>.</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 xml:space="preserve">is repeated for each of the </w:t>
            </w:r>
            <w:r w:rsidRPr="00280410">
              <w:rPr>
                <w:rFonts w:cstheme="minorHAnsi"/>
                <w:b/>
                <w:sz w:val="20"/>
                <w:szCs w:val="24"/>
              </w:rPr>
              <w:t>prevention measures</w:t>
            </w:r>
            <w:r>
              <w:rPr>
                <w:rFonts w:cstheme="minorHAnsi"/>
                <w:b/>
                <w:sz w:val="20"/>
                <w:szCs w:val="24"/>
              </w:rPr>
              <w:t xml:space="preserve"> identified</w:t>
            </w:r>
            <w:r w:rsidRPr="00280410">
              <w:rPr>
                <w:rFonts w:cstheme="minorHAnsi"/>
                <w:b/>
                <w:sz w:val="20"/>
                <w:szCs w:val="24"/>
              </w:rPr>
              <w:t>.</w:t>
            </w:r>
          </w:p>
        </w:tc>
      </w:tr>
      <w:tr w:rsidR="002961C5" w:rsidRPr="004E2584" w14:paraId="2F1BA203" w14:textId="77777777" w:rsidTr="004B054C">
        <w:trPr>
          <w:trHeight w:val="517"/>
        </w:trPr>
        <w:tc>
          <w:tcPr>
            <w:tcW w:w="3295" w:type="dxa"/>
            <w:tcBorders>
              <w:bottom w:val="single" w:sz="4" w:space="0" w:color="auto"/>
            </w:tcBorders>
            <w:shd w:val="clear" w:color="auto" w:fill="DBE5F1" w:themeFill="accent1" w:themeFillTint="33"/>
          </w:tcPr>
          <w:p w14:paraId="23D0D4B0" w14:textId="77777777" w:rsidR="002961C5" w:rsidRDefault="002961C5" w:rsidP="004B054C">
            <w:pPr>
              <w:pStyle w:val="NoSpacing"/>
              <w:rPr>
                <w:b/>
              </w:rPr>
            </w:pPr>
            <w:r>
              <w:rPr>
                <w:b/>
              </w:rPr>
              <w:t>Measure description</w:t>
            </w:r>
          </w:p>
          <w:p w14:paraId="1D7C2F8B" w14:textId="77777777" w:rsidR="002961C5" w:rsidRDefault="002961C5" w:rsidP="004B054C">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p w14:paraId="4038A589" w14:textId="77777777" w:rsidR="002961C5" w:rsidRPr="002B6463" w:rsidRDefault="002961C5" w:rsidP="004B054C">
            <w:pPr>
              <w:pStyle w:val="NoSpacing"/>
              <w:rPr>
                <w:b/>
                <w:sz w:val="28"/>
              </w:rPr>
            </w:pPr>
          </w:p>
        </w:tc>
        <w:tc>
          <w:tcPr>
            <w:tcW w:w="10653" w:type="dxa"/>
            <w:tcBorders>
              <w:bottom w:val="single" w:sz="4" w:space="0" w:color="auto"/>
            </w:tcBorders>
          </w:tcPr>
          <w:p w14:paraId="583361E5" w14:textId="77777777" w:rsidR="002961C5" w:rsidRPr="005A0032" w:rsidRDefault="002961C5" w:rsidP="004B054C">
            <w:pPr>
              <w:rPr>
                <w:b/>
              </w:rPr>
            </w:pPr>
            <w:r>
              <w:rPr>
                <w:b/>
              </w:rPr>
              <w:t>Biosecurity measures and public awareness</w:t>
            </w:r>
          </w:p>
          <w:p w14:paraId="463F61F6" w14:textId="77777777" w:rsidR="002961C5" w:rsidRDefault="002961C5" w:rsidP="004B054C"/>
          <w:p w14:paraId="22160EDB" w14:textId="55818AD2" w:rsidR="002961C5" w:rsidRDefault="002961C5" w:rsidP="004B054C">
            <w:r>
              <w:t>Regulatory measures should be coupled with voluntary measures (e.g. code of conducts) in order to change people</w:t>
            </w:r>
            <w:r w:rsidR="009834B0">
              <w:t>’s</w:t>
            </w:r>
            <w:r>
              <w:t xml:space="preserve"> mentality and behaviours, thus promoting their active participation </w:t>
            </w:r>
            <w:r w:rsidR="009834B0">
              <w:t xml:space="preserve">in </w:t>
            </w:r>
            <w:r>
              <w:t>tackl</w:t>
            </w:r>
            <w:r w:rsidR="009834B0">
              <w:t>ing</w:t>
            </w:r>
            <w:r>
              <w:t xml:space="preserve"> invasive alien species. As the Chinese </w:t>
            </w:r>
            <w:r>
              <w:lastRenderedPageBreak/>
              <w:t xml:space="preserve">mitten crab could be unintentionally </w:t>
            </w:r>
            <w:r w:rsidR="00221541">
              <w:t xml:space="preserve">transported and </w:t>
            </w:r>
            <w:r>
              <w:t xml:space="preserve">introduced </w:t>
            </w:r>
            <w:r w:rsidR="00221541">
              <w:t xml:space="preserve">into new areas </w:t>
            </w:r>
            <w:r>
              <w:t>by boating, t</w:t>
            </w:r>
            <w:r w:rsidRPr="008D5E7C">
              <w:t xml:space="preserve">he </w:t>
            </w:r>
            <w:r>
              <w:t xml:space="preserve">IMO guidance on recreational craft and the </w:t>
            </w:r>
            <w:r w:rsidRPr="008D5E7C">
              <w:t xml:space="preserve">European code of conduct on recreational boating and </w:t>
            </w:r>
            <w:r>
              <w:t>IAS</w:t>
            </w:r>
            <w:r w:rsidRPr="008D5E7C">
              <w:t xml:space="preserve"> should be implemented at </w:t>
            </w:r>
            <w:r w:rsidR="00DE24F5">
              <w:t xml:space="preserve">a </w:t>
            </w:r>
            <w:r w:rsidRPr="008D5E7C">
              <w:t>national level</w:t>
            </w:r>
            <w:r>
              <w:t xml:space="preserve"> (INBO, 2017). Similarly to </w:t>
            </w:r>
            <w:r w:rsidR="00EB6D91">
              <w:t xml:space="preserve">what is recommended by </w:t>
            </w:r>
            <w:r>
              <w:t xml:space="preserve">the GB </w:t>
            </w:r>
            <w:r w:rsidR="002C2DD9">
              <w:t xml:space="preserve">NNSS </w:t>
            </w:r>
            <w:r>
              <w:t>campaign</w:t>
            </w:r>
            <w:r>
              <w:rPr>
                <w:rStyle w:val="FootnoteReference"/>
              </w:rPr>
              <w:footnoteReference w:id="11"/>
            </w:r>
            <w:r>
              <w:t xml:space="preserve">, </w:t>
            </w:r>
            <w:r w:rsidR="0094446A">
              <w:t>‘</w:t>
            </w:r>
            <w:r>
              <w:t>c</w:t>
            </w:r>
            <w:r w:rsidRPr="008D5E7C">
              <w:t>heck, clean and dry</w:t>
            </w:r>
            <w:r w:rsidR="0094446A">
              <w:t>’</w:t>
            </w:r>
            <w:r w:rsidRPr="008D5E7C">
              <w:t xml:space="preserve"> </w:t>
            </w:r>
            <w:r w:rsidR="0094446A" w:rsidRPr="0094446A">
              <w:t xml:space="preserve">equipment and clothing when moving between waterways </w:t>
            </w:r>
            <w:r w:rsidRPr="008D5E7C">
              <w:t>represent</w:t>
            </w:r>
            <w:r w:rsidR="0094446A">
              <w:t>s</w:t>
            </w:r>
            <w:r w:rsidRPr="008D5E7C">
              <w:t xml:space="preserve"> one of the recommended measures</w:t>
            </w:r>
            <w:r>
              <w:t xml:space="preserve"> to decrease the possibility </w:t>
            </w:r>
            <w:r w:rsidR="00EB6D91">
              <w:t xml:space="preserve">of moving </w:t>
            </w:r>
            <w:r>
              <w:t>IAS</w:t>
            </w:r>
            <w:r w:rsidR="00EB6D91">
              <w:t xml:space="preserve"> into new areas</w:t>
            </w:r>
            <w:r>
              <w:t xml:space="preserve">. In the code, it is also recommended to encourage responsible recreational boating through targeted information, education and training. Informative materials should be firstly placed where aquatic IAS are an issue, but as underlined in the code “measures should be implemented by everyone, everywhere, </w:t>
            </w:r>
            <w:r w:rsidR="00A911F4">
              <w:t>every time</w:t>
            </w:r>
            <w:r>
              <w:t>”.</w:t>
            </w:r>
          </w:p>
          <w:p w14:paraId="089DF70F" w14:textId="0F4D4328" w:rsidR="00E327E8" w:rsidRPr="004E2584" w:rsidRDefault="00E327E8" w:rsidP="004B054C"/>
        </w:tc>
      </w:tr>
      <w:tr w:rsidR="002961C5" w:rsidRPr="005A0032" w14:paraId="3A48774B" w14:textId="77777777" w:rsidTr="004B054C">
        <w:trPr>
          <w:trHeight w:val="517"/>
        </w:trPr>
        <w:tc>
          <w:tcPr>
            <w:tcW w:w="3295" w:type="dxa"/>
            <w:tcBorders>
              <w:bottom w:val="single" w:sz="4" w:space="0" w:color="auto"/>
            </w:tcBorders>
            <w:shd w:val="clear" w:color="auto" w:fill="DBE5F1" w:themeFill="accent1" w:themeFillTint="33"/>
          </w:tcPr>
          <w:p w14:paraId="52232355" w14:textId="77777777" w:rsidR="002961C5" w:rsidRDefault="002961C5" w:rsidP="004B054C">
            <w:pPr>
              <w:pStyle w:val="NoSpacing"/>
              <w:rPr>
                <w:b/>
              </w:rPr>
            </w:pPr>
            <w:r>
              <w:rPr>
                <w:b/>
              </w:rPr>
              <w:lastRenderedPageBreak/>
              <w:t>Scale of application</w:t>
            </w:r>
          </w:p>
          <w:p w14:paraId="290F5058" w14:textId="77777777" w:rsidR="002961C5" w:rsidRDefault="002961C5" w:rsidP="004B054C">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p w14:paraId="4B89F8FD" w14:textId="77777777" w:rsidR="002961C5" w:rsidRPr="00DE32F5" w:rsidRDefault="002961C5" w:rsidP="004B054C">
            <w:pPr>
              <w:pStyle w:val="NoSpacing"/>
              <w:rPr>
                <w:sz w:val="20"/>
              </w:rPr>
            </w:pPr>
          </w:p>
        </w:tc>
        <w:tc>
          <w:tcPr>
            <w:tcW w:w="10653" w:type="dxa"/>
            <w:tcBorders>
              <w:bottom w:val="single" w:sz="4" w:space="0" w:color="auto"/>
            </w:tcBorders>
          </w:tcPr>
          <w:p w14:paraId="0721E485" w14:textId="1002BC39" w:rsidR="002961C5" w:rsidRPr="005A0032" w:rsidRDefault="002961C5" w:rsidP="00CA516E">
            <w:pPr>
              <w:rPr>
                <w:szCs w:val="20"/>
              </w:rPr>
            </w:pPr>
            <w:r>
              <w:rPr>
                <w:szCs w:val="20"/>
              </w:rPr>
              <w:t>The s</w:t>
            </w:r>
            <w:r w:rsidRPr="005A0032">
              <w:rPr>
                <w:szCs w:val="20"/>
              </w:rPr>
              <w:t xml:space="preserve">cale of application </w:t>
            </w:r>
            <w:r w:rsidR="00CA516E">
              <w:rPr>
                <w:szCs w:val="20"/>
              </w:rPr>
              <w:t xml:space="preserve">refers to </w:t>
            </w:r>
            <w:r w:rsidRPr="006C02FD">
              <w:rPr>
                <w:szCs w:val="20"/>
              </w:rPr>
              <w:t>all aquatic systems of national territories.</w:t>
            </w:r>
          </w:p>
        </w:tc>
      </w:tr>
      <w:tr w:rsidR="002961C5" w:rsidRPr="002B6463" w14:paraId="69B284F2" w14:textId="77777777" w:rsidTr="004B054C">
        <w:trPr>
          <w:trHeight w:val="2222"/>
        </w:trPr>
        <w:tc>
          <w:tcPr>
            <w:tcW w:w="3295" w:type="dxa"/>
            <w:tcBorders>
              <w:top w:val="single" w:sz="4" w:space="0" w:color="auto"/>
            </w:tcBorders>
            <w:shd w:val="clear" w:color="auto" w:fill="DBE5F1" w:themeFill="accent1" w:themeFillTint="33"/>
          </w:tcPr>
          <w:p w14:paraId="09153BD6" w14:textId="77777777" w:rsidR="002961C5" w:rsidRPr="0039672E" w:rsidRDefault="002961C5" w:rsidP="004B054C">
            <w:pPr>
              <w:pStyle w:val="NoSpacing"/>
              <w:rPr>
                <w:b/>
              </w:rPr>
            </w:pPr>
            <w:r w:rsidRPr="0039672E">
              <w:rPr>
                <w:b/>
              </w:rPr>
              <w:t xml:space="preserve">Effectiveness of </w:t>
            </w:r>
            <w:r>
              <w:rPr>
                <w:b/>
              </w:rPr>
              <w:t xml:space="preserve">the </w:t>
            </w:r>
            <w:r w:rsidRPr="0039672E">
              <w:rPr>
                <w:b/>
              </w:rPr>
              <w:t>measure</w:t>
            </w:r>
          </w:p>
          <w:p w14:paraId="0EA52E14" w14:textId="77777777" w:rsidR="002961C5" w:rsidRPr="0039672E" w:rsidRDefault="002961C5" w:rsidP="004B054C">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71E5649E" w14:textId="77777777" w:rsidR="002961C5" w:rsidRDefault="002961C5" w:rsidP="004B054C">
            <w:pPr>
              <w:pStyle w:val="NoSpacing"/>
              <w:rPr>
                <w:sz w:val="20"/>
              </w:rPr>
            </w:pPr>
          </w:p>
          <w:p w14:paraId="0851F9D0" w14:textId="77777777" w:rsidR="002961C5" w:rsidRPr="00DE32F5" w:rsidRDefault="002961C5" w:rsidP="004B054C">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275"/>
              <w:gridCol w:w="426"/>
              <w:gridCol w:w="1275"/>
              <w:gridCol w:w="426"/>
              <w:gridCol w:w="1559"/>
              <w:gridCol w:w="425"/>
              <w:gridCol w:w="1418"/>
              <w:gridCol w:w="425"/>
            </w:tblGrid>
            <w:tr w:rsidR="002961C5" w14:paraId="4C812EBA" w14:textId="77777777" w:rsidTr="004B054C">
              <w:tc>
                <w:tcPr>
                  <w:tcW w:w="2116" w:type="dxa"/>
                </w:tcPr>
                <w:p w14:paraId="4BE95024" w14:textId="77777777" w:rsidR="002961C5" w:rsidRPr="002E17F6" w:rsidRDefault="002961C5" w:rsidP="004B054C">
                  <w:pPr>
                    <w:pStyle w:val="NoSpacing"/>
                    <w:rPr>
                      <w:b/>
                      <w:i/>
                      <w:sz w:val="20"/>
                    </w:rPr>
                  </w:pPr>
                  <w:r>
                    <w:rPr>
                      <w:b/>
                      <w:i/>
                      <w:sz w:val="20"/>
                    </w:rPr>
                    <w:t>Effectiveness of measures</w:t>
                  </w:r>
                </w:p>
              </w:tc>
              <w:tc>
                <w:tcPr>
                  <w:tcW w:w="1275" w:type="dxa"/>
                </w:tcPr>
                <w:p w14:paraId="50B45C07" w14:textId="77777777" w:rsidR="002961C5" w:rsidRDefault="002961C5" w:rsidP="004B054C">
                  <w:pPr>
                    <w:pStyle w:val="NoSpacing"/>
                    <w:jc w:val="right"/>
                    <w:rPr>
                      <w:i/>
                      <w:sz w:val="20"/>
                    </w:rPr>
                  </w:pPr>
                  <w:r>
                    <w:rPr>
                      <w:i/>
                      <w:sz w:val="20"/>
                    </w:rPr>
                    <w:t>Effective</w:t>
                  </w:r>
                </w:p>
              </w:tc>
              <w:tc>
                <w:tcPr>
                  <w:tcW w:w="426" w:type="dxa"/>
                  <w:shd w:val="clear" w:color="auto" w:fill="DBE5F1" w:themeFill="accent1" w:themeFillTint="33"/>
                </w:tcPr>
                <w:p w14:paraId="323B6869" w14:textId="77777777" w:rsidR="002961C5" w:rsidRDefault="002961C5" w:rsidP="004B054C">
                  <w:pPr>
                    <w:pStyle w:val="NoSpacing"/>
                    <w:rPr>
                      <w:i/>
                      <w:sz w:val="20"/>
                    </w:rPr>
                  </w:pPr>
                </w:p>
              </w:tc>
              <w:tc>
                <w:tcPr>
                  <w:tcW w:w="1275" w:type="dxa"/>
                </w:tcPr>
                <w:p w14:paraId="2C216541" w14:textId="77777777" w:rsidR="002961C5" w:rsidRDefault="002961C5" w:rsidP="004B054C">
                  <w:pPr>
                    <w:pStyle w:val="NoSpacing"/>
                    <w:jc w:val="right"/>
                    <w:rPr>
                      <w:i/>
                      <w:sz w:val="20"/>
                    </w:rPr>
                  </w:pPr>
                  <w:r>
                    <w:rPr>
                      <w:i/>
                      <w:sz w:val="20"/>
                    </w:rPr>
                    <w:t xml:space="preserve">Neutral </w:t>
                  </w:r>
                </w:p>
              </w:tc>
              <w:tc>
                <w:tcPr>
                  <w:tcW w:w="426" w:type="dxa"/>
                  <w:shd w:val="clear" w:color="auto" w:fill="DBE5F1" w:themeFill="accent1" w:themeFillTint="33"/>
                </w:tcPr>
                <w:p w14:paraId="183631AD" w14:textId="77777777" w:rsidR="002961C5" w:rsidRDefault="002961C5" w:rsidP="004B054C">
                  <w:pPr>
                    <w:pStyle w:val="NoSpacing"/>
                    <w:jc w:val="right"/>
                    <w:rPr>
                      <w:i/>
                      <w:sz w:val="20"/>
                    </w:rPr>
                  </w:pPr>
                  <w:r>
                    <w:rPr>
                      <w:i/>
                      <w:sz w:val="20"/>
                    </w:rPr>
                    <w:t>X</w:t>
                  </w:r>
                </w:p>
              </w:tc>
              <w:tc>
                <w:tcPr>
                  <w:tcW w:w="1559" w:type="dxa"/>
                </w:tcPr>
                <w:p w14:paraId="721C8320" w14:textId="77777777" w:rsidR="002961C5" w:rsidRDefault="002961C5" w:rsidP="004B054C">
                  <w:pPr>
                    <w:pStyle w:val="NoSpacing"/>
                    <w:jc w:val="right"/>
                    <w:rPr>
                      <w:i/>
                      <w:sz w:val="20"/>
                    </w:rPr>
                  </w:pPr>
                  <w:r>
                    <w:rPr>
                      <w:i/>
                      <w:sz w:val="20"/>
                    </w:rPr>
                    <w:t>Ineffective</w:t>
                  </w:r>
                </w:p>
              </w:tc>
              <w:tc>
                <w:tcPr>
                  <w:tcW w:w="425" w:type="dxa"/>
                  <w:shd w:val="clear" w:color="auto" w:fill="DBE5F1" w:themeFill="accent1" w:themeFillTint="33"/>
                </w:tcPr>
                <w:p w14:paraId="4ADF5531" w14:textId="77777777" w:rsidR="002961C5" w:rsidRDefault="002961C5" w:rsidP="004B054C">
                  <w:pPr>
                    <w:pStyle w:val="NoSpacing"/>
                    <w:rPr>
                      <w:i/>
                      <w:sz w:val="20"/>
                    </w:rPr>
                  </w:pPr>
                </w:p>
              </w:tc>
              <w:tc>
                <w:tcPr>
                  <w:tcW w:w="1418" w:type="dxa"/>
                  <w:shd w:val="clear" w:color="auto" w:fill="auto"/>
                </w:tcPr>
                <w:p w14:paraId="74D4084C" w14:textId="77777777" w:rsidR="002961C5" w:rsidRDefault="002961C5" w:rsidP="004B054C">
                  <w:pPr>
                    <w:pStyle w:val="NoSpacing"/>
                    <w:rPr>
                      <w:i/>
                      <w:sz w:val="20"/>
                    </w:rPr>
                  </w:pPr>
                  <w:r>
                    <w:rPr>
                      <w:i/>
                      <w:sz w:val="20"/>
                    </w:rPr>
                    <w:t>Unknown</w:t>
                  </w:r>
                </w:p>
              </w:tc>
              <w:tc>
                <w:tcPr>
                  <w:tcW w:w="425" w:type="dxa"/>
                  <w:shd w:val="clear" w:color="auto" w:fill="DBE5F1" w:themeFill="accent1" w:themeFillTint="33"/>
                </w:tcPr>
                <w:p w14:paraId="054F411A" w14:textId="77777777" w:rsidR="002961C5" w:rsidRDefault="002961C5" w:rsidP="004B054C">
                  <w:pPr>
                    <w:pStyle w:val="NoSpacing"/>
                    <w:rPr>
                      <w:i/>
                      <w:sz w:val="20"/>
                    </w:rPr>
                  </w:pPr>
                </w:p>
              </w:tc>
            </w:tr>
          </w:tbl>
          <w:p w14:paraId="12EA7CD3" w14:textId="77777777" w:rsidR="002961C5" w:rsidRDefault="002961C5" w:rsidP="004B054C">
            <w:pPr>
              <w:pStyle w:val="NoSpacing"/>
              <w:rPr>
                <w:i/>
                <w:sz w:val="20"/>
              </w:rPr>
            </w:pPr>
          </w:p>
          <w:p w14:paraId="48C369AB" w14:textId="77777777" w:rsidR="002961C5" w:rsidRDefault="002961C5" w:rsidP="004B054C">
            <w:pPr>
              <w:pStyle w:val="NoSpacing"/>
              <w:rPr>
                <w:sz w:val="20"/>
              </w:rPr>
            </w:pPr>
            <w:r w:rsidRPr="00C856F5">
              <w:rPr>
                <w:i/>
                <w:sz w:val="20"/>
              </w:rPr>
              <w:t>Rationale</w:t>
            </w:r>
            <w:r>
              <w:rPr>
                <w:sz w:val="20"/>
              </w:rPr>
              <w:t>:</w:t>
            </w:r>
          </w:p>
          <w:p w14:paraId="64C45871" w14:textId="3B72D6CD" w:rsidR="002961C5" w:rsidRDefault="002961C5" w:rsidP="004B054C">
            <w:pPr>
              <w:pStyle w:val="NoSpacing"/>
            </w:pPr>
            <w:r>
              <w:t>In Ju</w:t>
            </w:r>
            <w:r w:rsidRPr="000125F1">
              <w:t>ly 2009</w:t>
            </w:r>
            <w:r>
              <w:t>, a research</w:t>
            </w:r>
            <w:r w:rsidRPr="000125F1">
              <w:t xml:space="preserve"> </w:t>
            </w:r>
            <w:r w:rsidR="002276C8">
              <w:t xml:space="preserve">study </w:t>
            </w:r>
            <w:r w:rsidRPr="000125F1">
              <w:t xml:space="preserve">concluded that the Check, Clean, Dry campaign </w:t>
            </w:r>
            <w:r w:rsidR="002276C8">
              <w:t xml:space="preserve">undertaken in New Zealand </w:t>
            </w:r>
            <w:r>
              <w:t>was</w:t>
            </w:r>
            <w:r w:rsidRPr="000125F1">
              <w:t xml:space="preserve"> successful in changing attitudes and behaviours of New Zealand’s fresh waterway users</w:t>
            </w:r>
            <w:r>
              <w:t>: of those surveyed</w:t>
            </w:r>
            <w:r w:rsidR="002276C8">
              <w:t>,</w:t>
            </w:r>
            <w:r>
              <w:t xml:space="preserve"> 89% of high-risk users agreed that the diatom didymo </w:t>
            </w:r>
            <w:r w:rsidR="002276C8">
              <w:t>(</w:t>
            </w:r>
            <w:proofErr w:type="spellStart"/>
            <w:r w:rsidR="002276C8" w:rsidRPr="002276C8">
              <w:rPr>
                <w:i/>
              </w:rPr>
              <w:t>Didymosphenia</w:t>
            </w:r>
            <w:proofErr w:type="spellEnd"/>
            <w:r w:rsidR="002276C8" w:rsidRPr="002276C8">
              <w:rPr>
                <w:i/>
              </w:rPr>
              <w:t xml:space="preserve"> </w:t>
            </w:r>
            <w:proofErr w:type="spellStart"/>
            <w:r w:rsidR="002276C8" w:rsidRPr="002276C8">
              <w:rPr>
                <w:i/>
              </w:rPr>
              <w:t>geminata</w:t>
            </w:r>
            <w:proofErr w:type="spellEnd"/>
            <w:r w:rsidR="002276C8">
              <w:t>)</w:t>
            </w:r>
            <w:r w:rsidR="002276C8" w:rsidRPr="002276C8">
              <w:t xml:space="preserve"> </w:t>
            </w:r>
            <w:r>
              <w:t xml:space="preserve">was a serious threat for New Zealand; 100% of high-risk users in the South Island and 99% of high-risk users in the North Island were able to identify an action they </w:t>
            </w:r>
            <w:r w:rsidR="001C6097">
              <w:t xml:space="preserve">could </w:t>
            </w:r>
            <w:r>
              <w:t xml:space="preserve">take to help stop the spread of didymo. Of those, 71% always Check, Clean and Dry and 21% sometimes Check, Clean and Dry. Although it was </w:t>
            </w:r>
            <w:r w:rsidR="001C6097">
              <w:t xml:space="preserve">not </w:t>
            </w:r>
            <w:r>
              <w:t xml:space="preserve">possible to </w:t>
            </w:r>
            <w:r w:rsidR="001C6097">
              <w:t xml:space="preserve">be absolutely sure </w:t>
            </w:r>
            <w:r>
              <w:t xml:space="preserve">whether the spread of didymo slowed </w:t>
            </w:r>
            <w:r w:rsidR="001C6097">
              <w:t xml:space="preserve">down </w:t>
            </w:r>
            <w:r>
              <w:t xml:space="preserve">due to the implementation of the Check, Clean, Dry campaign, it </w:t>
            </w:r>
            <w:r w:rsidR="001C6097">
              <w:t>is important</w:t>
            </w:r>
            <w:r>
              <w:t xml:space="preserve"> to note that didymo has not yet been detected in the North Island</w:t>
            </w:r>
            <w:r>
              <w:rPr>
                <w:rStyle w:val="FootnoteReference"/>
              </w:rPr>
              <w:footnoteReference w:id="12"/>
            </w:r>
            <w:r>
              <w:t>. In</w:t>
            </w:r>
            <w:r w:rsidR="00DC145F">
              <w:t xml:space="preserve"> the UK</w:t>
            </w:r>
            <w:r>
              <w:t xml:space="preserve">, the use of hot water as a decontamination method to prevent the accidental movement of aquatic invasive species resulted to be 99% effective in killing </w:t>
            </w:r>
            <w:r w:rsidR="00812BBC">
              <w:t xml:space="preserve">alien </w:t>
            </w:r>
            <w:r>
              <w:t>aquatic plants and invertebrates (Anderson et al., 2014).</w:t>
            </w:r>
          </w:p>
          <w:p w14:paraId="0BB995BF" w14:textId="56B7D071" w:rsidR="008839DE" w:rsidRPr="00151189" w:rsidRDefault="008839DE" w:rsidP="004B054C">
            <w:pPr>
              <w:pStyle w:val="NoSpacing"/>
            </w:pPr>
          </w:p>
        </w:tc>
      </w:tr>
      <w:tr w:rsidR="002961C5" w:rsidRPr="005A0032" w14:paraId="4102ACC2" w14:textId="77777777" w:rsidTr="004B054C">
        <w:tc>
          <w:tcPr>
            <w:tcW w:w="3295" w:type="dxa"/>
            <w:shd w:val="clear" w:color="auto" w:fill="DBE5F1" w:themeFill="accent1" w:themeFillTint="33"/>
          </w:tcPr>
          <w:p w14:paraId="00A3197A" w14:textId="77777777" w:rsidR="002961C5" w:rsidRPr="0039672E" w:rsidRDefault="002961C5" w:rsidP="004B054C">
            <w:pPr>
              <w:pStyle w:val="NoSpacing"/>
              <w:rPr>
                <w:b/>
              </w:rPr>
            </w:pPr>
            <w:r w:rsidRPr="0039672E">
              <w:rPr>
                <w:b/>
              </w:rPr>
              <w:t>Effort required</w:t>
            </w:r>
          </w:p>
          <w:p w14:paraId="0C14FD78" w14:textId="77777777" w:rsidR="002961C5" w:rsidRPr="002B6463" w:rsidRDefault="002961C5" w:rsidP="004B054C">
            <w:pPr>
              <w:pStyle w:val="NoSpacing"/>
              <w:rPr>
                <w:sz w:val="20"/>
              </w:rPr>
            </w:pPr>
            <w:r w:rsidRPr="00EA6987">
              <w:rPr>
                <w:sz w:val="20"/>
              </w:rPr>
              <w:lastRenderedPageBreak/>
              <w:t>e.g. period of time over which measure need</w:t>
            </w:r>
            <w:r>
              <w:rPr>
                <w:sz w:val="20"/>
              </w:rPr>
              <w:t>s</w:t>
            </w:r>
            <w:r w:rsidRPr="00EA6987">
              <w:rPr>
                <w:sz w:val="20"/>
              </w:rPr>
              <w:t xml:space="preserve"> to be applied to have results</w:t>
            </w:r>
          </w:p>
        </w:tc>
        <w:tc>
          <w:tcPr>
            <w:tcW w:w="10653" w:type="dxa"/>
          </w:tcPr>
          <w:p w14:paraId="1C4C9527" w14:textId="77777777" w:rsidR="002961C5" w:rsidRPr="005A0032" w:rsidRDefault="002961C5" w:rsidP="004B054C">
            <w:pPr>
              <w:pStyle w:val="NoSpacing"/>
            </w:pPr>
            <w:r w:rsidRPr="003E393F">
              <w:lastRenderedPageBreak/>
              <w:t xml:space="preserve">This measure should be applied indefinitely. </w:t>
            </w:r>
          </w:p>
        </w:tc>
      </w:tr>
      <w:tr w:rsidR="002961C5" w:rsidRPr="005A0032" w14:paraId="78E7B283" w14:textId="77777777" w:rsidTr="004B054C">
        <w:tc>
          <w:tcPr>
            <w:tcW w:w="3295" w:type="dxa"/>
            <w:shd w:val="clear" w:color="auto" w:fill="DBE5F1" w:themeFill="accent1" w:themeFillTint="33"/>
          </w:tcPr>
          <w:p w14:paraId="1EAA576C" w14:textId="77777777" w:rsidR="002961C5" w:rsidRPr="0039672E" w:rsidRDefault="002961C5" w:rsidP="004B054C">
            <w:pPr>
              <w:pStyle w:val="NoSpacing"/>
              <w:rPr>
                <w:b/>
                <w:sz w:val="24"/>
                <w:vertAlign w:val="superscript"/>
              </w:rPr>
            </w:pPr>
            <w:r w:rsidRPr="0039672E">
              <w:rPr>
                <w:b/>
              </w:rPr>
              <w:t>Resources required</w:t>
            </w:r>
            <w:r>
              <w:rPr>
                <w:b/>
              </w:rPr>
              <w:t xml:space="preserve"> </w:t>
            </w:r>
            <w:r>
              <w:rPr>
                <w:b/>
                <w:vertAlign w:val="superscript"/>
              </w:rPr>
              <w:t>1</w:t>
            </w:r>
          </w:p>
          <w:p w14:paraId="07E88A3A" w14:textId="77777777" w:rsidR="002961C5" w:rsidRPr="002B6463" w:rsidRDefault="002961C5" w:rsidP="004B054C">
            <w:pPr>
              <w:pStyle w:val="NoSpacing"/>
              <w:rPr>
                <w:sz w:val="20"/>
              </w:rPr>
            </w:pPr>
            <w:r>
              <w:rPr>
                <w:sz w:val="20"/>
              </w:rPr>
              <w:t>e.g. cost, staff, equipment etc.</w:t>
            </w:r>
          </w:p>
        </w:tc>
        <w:tc>
          <w:tcPr>
            <w:tcW w:w="10653" w:type="dxa"/>
          </w:tcPr>
          <w:p w14:paraId="7F59F3F3" w14:textId="77777777" w:rsidR="00CB5EEB" w:rsidRDefault="002961C5" w:rsidP="004B054C">
            <w:pPr>
              <w:pStyle w:val="NoSpacing"/>
            </w:pPr>
            <w:r w:rsidRPr="005A0032">
              <w:t xml:space="preserve">Costs include </w:t>
            </w:r>
            <w:r>
              <w:t xml:space="preserve">informative materials and social campaigns </w:t>
            </w:r>
            <w:r w:rsidR="00CF25D9">
              <w:t xml:space="preserve">needed </w:t>
            </w:r>
            <w:r>
              <w:t>to promote the biosecurity measures</w:t>
            </w:r>
            <w:r w:rsidR="00CF25D9">
              <w:t xml:space="preserve"> that should be implemented,</w:t>
            </w:r>
            <w:r>
              <w:t xml:space="preserve"> plus the </w:t>
            </w:r>
            <w:r w:rsidR="00CF25D9">
              <w:t>resources needed</w:t>
            </w:r>
            <w:r>
              <w:t xml:space="preserve"> to clean the crafts and dispose the removed materials. </w:t>
            </w:r>
          </w:p>
          <w:p w14:paraId="4D6C945F" w14:textId="5326BE8E" w:rsidR="002961C5" w:rsidRDefault="002961C5" w:rsidP="004B054C">
            <w:pPr>
              <w:pStyle w:val="NoSpacing"/>
            </w:pPr>
            <w:r>
              <w:t>In New Zealand, t</w:t>
            </w:r>
            <w:r w:rsidRPr="001B3B2D">
              <w:t xml:space="preserve">otal expenditure on social marketing activities in the first three years of the </w:t>
            </w:r>
            <w:r w:rsidR="000B582D">
              <w:t xml:space="preserve">check, clean, dry campaign in </w:t>
            </w:r>
            <w:r w:rsidR="000B582D" w:rsidRPr="001B3B2D">
              <w:t xml:space="preserve">response </w:t>
            </w:r>
            <w:r w:rsidR="000B582D">
              <w:t xml:space="preserve">to the </w:t>
            </w:r>
            <w:r>
              <w:t xml:space="preserve">diatom </w:t>
            </w:r>
            <w:r w:rsidRPr="001B3B2D">
              <w:t>didymo was approximately 4.55 million NZD</w:t>
            </w:r>
            <w:r>
              <w:rPr>
                <w:rStyle w:val="FootnoteReference"/>
              </w:rPr>
              <w:footnoteReference w:id="13"/>
            </w:r>
            <w:r w:rsidR="000B582D">
              <w:t xml:space="preserve"> (approximately 2.6 million EUR)</w:t>
            </w:r>
            <w:r w:rsidRPr="001B3B2D">
              <w:t>.</w:t>
            </w:r>
            <w:r>
              <w:t xml:space="preserve"> In </w:t>
            </w:r>
            <w:r w:rsidR="000B582D">
              <w:t xml:space="preserve">the </w:t>
            </w:r>
            <w:r>
              <w:t xml:space="preserve">UK, </w:t>
            </w:r>
            <w:r w:rsidRPr="002522B4">
              <w:t xml:space="preserve">eight water companies </w:t>
            </w:r>
            <w:r w:rsidR="00855BD7">
              <w:t xml:space="preserve">have been </w:t>
            </w:r>
            <w:r w:rsidRPr="002522B4">
              <w:t>investing £150</w:t>
            </w:r>
            <w:r w:rsidR="00855BD7">
              <w:t>,000</w:t>
            </w:r>
            <w:r w:rsidRPr="002522B4">
              <w:t xml:space="preserve"> per annum </w:t>
            </w:r>
            <w:r w:rsidR="00855BD7">
              <w:t>(approximately 170,000 EUR)</w:t>
            </w:r>
            <w:r w:rsidR="00855BD7" w:rsidRPr="002522B4">
              <w:t xml:space="preserve"> </w:t>
            </w:r>
            <w:r w:rsidRPr="002522B4">
              <w:t>from 2017</w:t>
            </w:r>
            <w:r w:rsidR="00855BD7">
              <w:t xml:space="preserve"> </w:t>
            </w:r>
            <w:r w:rsidR="00855BD7" w:rsidRPr="00855BD7">
              <w:t>to tackle aquatic invasive species through an enhanced Check, Clean, Dry work programme</w:t>
            </w:r>
            <w:r>
              <w:rPr>
                <w:rStyle w:val="FootnoteReference"/>
              </w:rPr>
              <w:footnoteReference w:id="14"/>
            </w:r>
            <w:r>
              <w:t>.</w:t>
            </w:r>
          </w:p>
          <w:p w14:paraId="7F0B8B30" w14:textId="2230ADE4" w:rsidR="008839DE" w:rsidRPr="005A0032" w:rsidRDefault="008839DE" w:rsidP="000553F4">
            <w:pPr>
              <w:pStyle w:val="NoSpacing"/>
            </w:pPr>
          </w:p>
        </w:tc>
      </w:tr>
      <w:tr w:rsidR="002961C5" w:rsidRPr="002B6463" w14:paraId="599C64FC" w14:textId="77777777" w:rsidTr="004B054C">
        <w:tc>
          <w:tcPr>
            <w:tcW w:w="3295" w:type="dxa"/>
            <w:shd w:val="clear" w:color="auto" w:fill="DBE5F1" w:themeFill="accent1" w:themeFillTint="33"/>
          </w:tcPr>
          <w:p w14:paraId="6BB83204" w14:textId="77777777" w:rsidR="002961C5" w:rsidRPr="0039672E" w:rsidRDefault="002961C5" w:rsidP="004B054C">
            <w:pPr>
              <w:pStyle w:val="NoSpacing"/>
              <w:rPr>
                <w:b/>
              </w:rPr>
            </w:pPr>
            <w:r w:rsidRPr="0039672E">
              <w:rPr>
                <w:b/>
              </w:rPr>
              <w:t>Side effects (incl. potential)</w:t>
            </w:r>
            <w:r>
              <w:rPr>
                <w:b/>
              </w:rPr>
              <w:t xml:space="preserve"> – both positive and negative</w:t>
            </w:r>
          </w:p>
          <w:p w14:paraId="1463A8FC" w14:textId="77777777" w:rsidR="002961C5" w:rsidRDefault="002961C5" w:rsidP="004B054C">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4E5683D1" w14:textId="77777777" w:rsidR="002961C5" w:rsidRDefault="002961C5" w:rsidP="004B054C">
            <w:pPr>
              <w:pStyle w:val="NoSpacing"/>
              <w:rPr>
                <w:b/>
              </w:rPr>
            </w:pPr>
          </w:p>
          <w:p w14:paraId="680BD293" w14:textId="77777777" w:rsidR="002961C5" w:rsidRPr="0039672E" w:rsidRDefault="002961C5" w:rsidP="004B054C">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2961C5" w14:paraId="5713A970" w14:textId="77777777" w:rsidTr="004B054C">
              <w:tc>
                <w:tcPr>
                  <w:tcW w:w="2116" w:type="dxa"/>
                </w:tcPr>
                <w:p w14:paraId="289A2F97" w14:textId="77777777" w:rsidR="002961C5" w:rsidRPr="002E17F6" w:rsidRDefault="002961C5" w:rsidP="004B054C">
                  <w:pPr>
                    <w:pStyle w:val="NoSpacing"/>
                    <w:rPr>
                      <w:b/>
                      <w:i/>
                      <w:sz w:val="20"/>
                    </w:rPr>
                  </w:pPr>
                  <w:r w:rsidRPr="002E17F6">
                    <w:rPr>
                      <w:b/>
                      <w:i/>
                      <w:sz w:val="20"/>
                    </w:rPr>
                    <w:t>Environmental</w:t>
                  </w:r>
                  <w:r>
                    <w:rPr>
                      <w:b/>
                      <w:i/>
                      <w:sz w:val="20"/>
                    </w:rPr>
                    <w:t xml:space="preserve"> effects</w:t>
                  </w:r>
                </w:p>
              </w:tc>
              <w:tc>
                <w:tcPr>
                  <w:tcW w:w="1701" w:type="dxa"/>
                </w:tcPr>
                <w:p w14:paraId="3E2073B2" w14:textId="77777777" w:rsidR="002961C5" w:rsidRDefault="002961C5" w:rsidP="004B054C">
                  <w:pPr>
                    <w:pStyle w:val="NoSpacing"/>
                    <w:jc w:val="right"/>
                    <w:rPr>
                      <w:i/>
                      <w:sz w:val="20"/>
                    </w:rPr>
                  </w:pPr>
                  <w:r>
                    <w:rPr>
                      <w:i/>
                      <w:sz w:val="20"/>
                    </w:rPr>
                    <w:t>Positive</w:t>
                  </w:r>
                </w:p>
              </w:tc>
              <w:tc>
                <w:tcPr>
                  <w:tcW w:w="425" w:type="dxa"/>
                  <w:shd w:val="clear" w:color="auto" w:fill="DBE5F1" w:themeFill="accent1" w:themeFillTint="33"/>
                </w:tcPr>
                <w:p w14:paraId="7E034435" w14:textId="77777777" w:rsidR="002961C5" w:rsidRDefault="002961C5" w:rsidP="004B054C">
                  <w:pPr>
                    <w:pStyle w:val="NoSpacing"/>
                    <w:jc w:val="right"/>
                    <w:rPr>
                      <w:i/>
                      <w:sz w:val="20"/>
                    </w:rPr>
                  </w:pPr>
                  <w:r>
                    <w:rPr>
                      <w:i/>
                      <w:sz w:val="20"/>
                    </w:rPr>
                    <w:t>X</w:t>
                  </w:r>
                </w:p>
              </w:tc>
              <w:tc>
                <w:tcPr>
                  <w:tcW w:w="2268" w:type="dxa"/>
                </w:tcPr>
                <w:p w14:paraId="5E5CAF92" w14:textId="77777777" w:rsidR="002961C5" w:rsidRDefault="002961C5" w:rsidP="004B054C">
                  <w:pPr>
                    <w:pStyle w:val="NoSpacing"/>
                    <w:jc w:val="right"/>
                    <w:rPr>
                      <w:i/>
                      <w:sz w:val="20"/>
                    </w:rPr>
                  </w:pPr>
                  <w:r>
                    <w:rPr>
                      <w:i/>
                      <w:sz w:val="20"/>
                    </w:rPr>
                    <w:t>Neutral or mixed</w:t>
                  </w:r>
                </w:p>
              </w:tc>
              <w:tc>
                <w:tcPr>
                  <w:tcW w:w="425" w:type="dxa"/>
                  <w:shd w:val="clear" w:color="auto" w:fill="DBE5F1" w:themeFill="accent1" w:themeFillTint="33"/>
                </w:tcPr>
                <w:p w14:paraId="24C859DE" w14:textId="77777777" w:rsidR="002961C5" w:rsidRDefault="002961C5" w:rsidP="004B054C">
                  <w:pPr>
                    <w:pStyle w:val="NoSpacing"/>
                    <w:jc w:val="right"/>
                    <w:rPr>
                      <w:i/>
                      <w:sz w:val="20"/>
                    </w:rPr>
                  </w:pPr>
                </w:p>
              </w:tc>
              <w:tc>
                <w:tcPr>
                  <w:tcW w:w="2002" w:type="dxa"/>
                </w:tcPr>
                <w:p w14:paraId="352C6DB8" w14:textId="77777777" w:rsidR="002961C5" w:rsidRDefault="002961C5" w:rsidP="004B054C">
                  <w:pPr>
                    <w:pStyle w:val="NoSpacing"/>
                    <w:jc w:val="right"/>
                    <w:rPr>
                      <w:i/>
                      <w:sz w:val="20"/>
                    </w:rPr>
                  </w:pPr>
                  <w:r>
                    <w:rPr>
                      <w:i/>
                      <w:sz w:val="20"/>
                    </w:rPr>
                    <w:t>Negative</w:t>
                  </w:r>
                </w:p>
              </w:tc>
              <w:tc>
                <w:tcPr>
                  <w:tcW w:w="408" w:type="dxa"/>
                  <w:shd w:val="clear" w:color="auto" w:fill="DBE5F1" w:themeFill="accent1" w:themeFillTint="33"/>
                </w:tcPr>
                <w:p w14:paraId="0479FE0B" w14:textId="77777777" w:rsidR="002961C5" w:rsidRDefault="002961C5" w:rsidP="004B054C">
                  <w:pPr>
                    <w:pStyle w:val="NoSpacing"/>
                    <w:rPr>
                      <w:i/>
                      <w:sz w:val="20"/>
                    </w:rPr>
                  </w:pPr>
                </w:p>
              </w:tc>
            </w:tr>
            <w:tr w:rsidR="002961C5" w14:paraId="00448AA3" w14:textId="77777777" w:rsidTr="004B054C">
              <w:tc>
                <w:tcPr>
                  <w:tcW w:w="2116" w:type="dxa"/>
                </w:tcPr>
                <w:p w14:paraId="2858056E" w14:textId="77777777" w:rsidR="002961C5" w:rsidRPr="002E17F6" w:rsidRDefault="002961C5" w:rsidP="004B054C">
                  <w:pPr>
                    <w:pStyle w:val="NoSpacing"/>
                    <w:rPr>
                      <w:b/>
                      <w:i/>
                      <w:sz w:val="20"/>
                    </w:rPr>
                  </w:pPr>
                  <w:r w:rsidRPr="002E17F6">
                    <w:rPr>
                      <w:b/>
                      <w:i/>
                      <w:sz w:val="20"/>
                    </w:rPr>
                    <w:t>Social</w:t>
                  </w:r>
                  <w:r>
                    <w:rPr>
                      <w:b/>
                      <w:i/>
                      <w:sz w:val="20"/>
                    </w:rPr>
                    <w:t xml:space="preserve"> effects</w:t>
                  </w:r>
                </w:p>
              </w:tc>
              <w:tc>
                <w:tcPr>
                  <w:tcW w:w="1701" w:type="dxa"/>
                </w:tcPr>
                <w:p w14:paraId="53D51B56" w14:textId="77777777" w:rsidR="002961C5" w:rsidRDefault="002961C5" w:rsidP="004B054C">
                  <w:pPr>
                    <w:pStyle w:val="NoSpacing"/>
                    <w:jc w:val="right"/>
                    <w:rPr>
                      <w:i/>
                      <w:sz w:val="20"/>
                    </w:rPr>
                  </w:pPr>
                  <w:r>
                    <w:rPr>
                      <w:i/>
                      <w:sz w:val="20"/>
                    </w:rPr>
                    <w:t>Positive</w:t>
                  </w:r>
                </w:p>
              </w:tc>
              <w:tc>
                <w:tcPr>
                  <w:tcW w:w="425" w:type="dxa"/>
                  <w:shd w:val="clear" w:color="auto" w:fill="DBE5F1" w:themeFill="accent1" w:themeFillTint="33"/>
                </w:tcPr>
                <w:p w14:paraId="31868BEF" w14:textId="77777777" w:rsidR="002961C5" w:rsidRDefault="002961C5" w:rsidP="004B054C">
                  <w:pPr>
                    <w:pStyle w:val="NoSpacing"/>
                    <w:jc w:val="right"/>
                    <w:rPr>
                      <w:i/>
                      <w:sz w:val="20"/>
                    </w:rPr>
                  </w:pPr>
                  <w:r>
                    <w:rPr>
                      <w:i/>
                      <w:sz w:val="20"/>
                    </w:rPr>
                    <w:t>X</w:t>
                  </w:r>
                </w:p>
              </w:tc>
              <w:tc>
                <w:tcPr>
                  <w:tcW w:w="2268" w:type="dxa"/>
                </w:tcPr>
                <w:p w14:paraId="11B31390" w14:textId="77777777" w:rsidR="002961C5" w:rsidRDefault="002961C5" w:rsidP="004B054C">
                  <w:pPr>
                    <w:pStyle w:val="NoSpacing"/>
                    <w:jc w:val="right"/>
                    <w:rPr>
                      <w:i/>
                      <w:sz w:val="20"/>
                    </w:rPr>
                  </w:pPr>
                  <w:r>
                    <w:rPr>
                      <w:i/>
                      <w:sz w:val="20"/>
                    </w:rPr>
                    <w:t>Neutral or mixed</w:t>
                  </w:r>
                </w:p>
              </w:tc>
              <w:tc>
                <w:tcPr>
                  <w:tcW w:w="425" w:type="dxa"/>
                  <w:shd w:val="clear" w:color="auto" w:fill="DBE5F1" w:themeFill="accent1" w:themeFillTint="33"/>
                </w:tcPr>
                <w:p w14:paraId="1E023695" w14:textId="77777777" w:rsidR="002961C5" w:rsidRDefault="002961C5" w:rsidP="004B054C">
                  <w:pPr>
                    <w:pStyle w:val="NoSpacing"/>
                    <w:jc w:val="right"/>
                    <w:rPr>
                      <w:i/>
                      <w:sz w:val="20"/>
                    </w:rPr>
                  </w:pPr>
                </w:p>
              </w:tc>
              <w:tc>
                <w:tcPr>
                  <w:tcW w:w="2002" w:type="dxa"/>
                </w:tcPr>
                <w:p w14:paraId="55F4BF9B" w14:textId="77777777" w:rsidR="002961C5" w:rsidRDefault="002961C5" w:rsidP="004B054C">
                  <w:pPr>
                    <w:pStyle w:val="NoSpacing"/>
                    <w:jc w:val="right"/>
                    <w:rPr>
                      <w:i/>
                      <w:sz w:val="20"/>
                    </w:rPr>
                  </w:pPr>
                  <w:r>
                    <w:rPr>
                      <w:i/>
                      <w:sz w:val="20"/>
                    </w:rPr>
                    <w:t>Negative</w:t>
                  </w:r>
                </w:p>
              </w:tc>
              <w:tc>
                <w:tcPr>
                  <w:tcW w:w="408" w:type="dxa"/>
                  <w:shd w:val="clear" w:color="auto" w:fill="DBE5F1" w:themeFill="accent1" w:themeFillTint="33"/>
                </w:tcPr>
                <w:p w14:paraId="2967701B" w14:textId="77777777" w:rsidR="002961C5" w:rsidRDefault="002961C5" w:rsidP="004B054C">
                  <w:pPr>
                    <w:pStyle w:val="NoSpacing"/>
                    <w:rPr>
                      <w:i/>
                      <w:sz w:val="20"/>
                    </w:rPr>
                  </w:pPr>
                </w:p>
              </w:tc>
            </w:tr>
            <w:tr w:rsidR="002961C5" w14:paraId="6786EB51" w14:textId="77777777" w:rsidTr="004B054C">
              <w:tc>
                <w:tcPr>
                  <w:tcW w:w="2116" w:type="dxa"/>
                </w:tcPr>
                <w:p w14:paraId="608745FC" w14:textId="77777777" w:rsidR="002961C5" w:rsidRPr="002E17F6" w:rsidRDefault="002961C5" w:rsidP="004B054C">
                  <w:pPr>
                    <w:pStyle w:val="NoSpacing"/>
                    <w:rPr>
                      <w:b/>
                      <w:i/>
                      <w:sz w:val="20"/>
                    </w:rPr>
                  </w:pPr>
                  <w:r w:rsidRPr="002E17F6">
                    <w:rPr>
                      <w:b/>
                      <w:i/>
                      <w:sz w:val="20"/>
                    </w:rPr>
                    <w:t>Economic</w:t>
                  </w:r>
                  <w:r>
                    <w:rPr>
                      <w:b/>
                      <w:i/>
                      <w:sz w:val="20"/>
                    </w:rPr>
                    <w:t xml:space="preserve"> effects</w:t>
                  </w:r>
                </w:p>
              </w:tc>
              <w:tc>
                <w:tcPr>
                  <w:tcW w:w="1701" w:type="dxa"/>
                </w:tcPr>
                <w:p w14:paraId="4094CC49" w14:textId="77777777" w:rsidR="002961C5" w:rsidRDefault="002961C5" w:rsidP="004B054C">
                  <w:pPr>
                    <w:pStyle w:val="NoSpacing"/>
                    <w:jc w:val="right"/>
                    <w:rPr>
                      <w:i/>
                      <w:sz w:val="20"/>
                    </w:rPr>
                  </w:pPr>
                  <w:r>
                    <w:rPr>
                      <w:i/>
                      <w:sz w:val="20"/>
                    </w:rPr>
                    <w:t>Positive</w:t>
                  </w:r>
                </w:p>
              </w:tc>
              <w:tc>
                <w:tcPr>
                  <w:tcW w:w="425" w:type="dxa"/>
                  <w:shd w:val="clear" w:color="auto" w:fill="DBE5F1" w:themeFill="accent1" w:themeFillTint="33"/>
                </w:tcPr>
                <w:p w14:paraId="276DD86C" w14:textId="77777777" w:rsidR="002961C5" w:rsidRDefault="002961C5" w:rsidP="004B054C">
                  <w:pPr>
                    <w:pStyle w:val="NoSpacing"/>
                    <w:jc w:val="right"/>
                    <w:rPr>
                      <w:i/>
                      <w:sz w:val="20"/>
                    </w:rPr>
                  </w:pPr>
                </w:p>
              </w:tc>
              <w:tc>
                <w:tcPr>
                  <w:tcW w:w="2268" w:type="dxa"/>
                </w:tcPr>
                <w:p w14:paraId="3C148126" w14:textId="77777777" w:rsidR="002961C5" w:rsidRDefault="002961C5" w:rsidP="004B054C">
                  <w:pPr>
                    <w:pStyle w:val="NoSpacing"/>
                    <w:jc w:val="right"/>
                    <w:rPr>
                      <w:i/>
                      <w:sz w:val="20"/>
                    </w:rPr>
                  </w:pPr>
                  <w:r>
                    <w:rPr>
                      <w:i/>
                      <w:sz w:val="20"/>
                    </w:rPr>
                    <w:t>Neutral or mixed</w:t>
                  </w:r>
                </w:p>
              </w:tc>
              <w:tc>
                <w:tcPr>
                  <w:tcW w:w="425" w:type="dxa"/>
                  <w:shd w:val="clear" w:color="auto" w:fill="DBE5F1" w:themeFill="accent1" w:themeFillTint="33"/>
                </w:tcPr>
                <w:p w14:paraId="79AB6771" w14:textId="77777777" w:rsidR="002961C5" w:rsidRDefault="002961C5" w:rsidP="004B054C">
                  <w:pPr>
                    <w:pStyle w:val="NoSpacing"/>
                    <w:jc w:val="right"/>
                    <w:rPr>
                      <w:i/>
                      <w:sz w:val="20"/>
                    </w:rPr>
                  </w:pPr>
                  <w:r>
                    <w:rPr>
                      <w:i/>
                      <w:sz w:val="20"/>
                    </w:rPr>
                    <w:t>X</w:t>
                  </w:r>
                </w:p>
              </w:tc>
              <w:tc>
                <w:tcPr>
                  <w:tcW w:w="2002" w:type="dxa"/>
                </w:tcPr>
                <w:p w14:paraId="3FAC55AF" w14:textId="77777777" w:rsidR="002961C5" w:rsidRDefault="002961C5" w:rsidP="004B054C">
                  <w:pPr>
                    <w:pStyle w:val="NoSpacing"/>
                    <w:jc w:val="right"/>
                    <w:rPr>
                      <w:i/>
                      <w:sz w:val="20"/>
                    </w:rPr>
                  </w:pPr>
                  <w:r>
                    <w:rPr>
                      <w:i/>
                      <w:sz w:val="20"/>
                    </w:rPr>
                    <w:t>Negative</w:t>
                  </w:r>
                </w:p>
              </w:tc>
              <w:tc>
                <w:tcPr>
                  <w:tcW w:w="408" w:type="dxa"/>
                  <w:shd w:val="clear" w:color="auto" w:fill="DBE5F1" w:themeFill="accent1" w:themeFillTint="33"/>
                </w:tcPr>
                <w:p w14:paraId="515FE953" w14:textId="77777777" w:rsidR="002961C5" w:rsidRDefault="002961C5" w:rsidP="004B054C">
                  <w:pPr>
                    <w:pStyle w:val="NoSpacing"/>
                    <w:rPr>
                      <w:i/>
                      <w:sz w:val="20"/>
                    </w:rPr>
                  </w:pPr>
                </w:p>
              </w:tc>
            </w:tr>
          </w:tbl>
          <w:p w14:paraId="3DFE7E48" w14:textId="77777777" w:rsidR="002961C5" w:rsidRDefault="002961C5" w:rsidP="004B054C">
            <w:pPr>
              <w:pStyle w:val="NoSpacing"/>
              <w:rPr>
                <w:i/>
                <w:sz w:val="20"/>
              </w:rPr>
            </w:pPr>
          </w:p>
          <w:p w14:paraId="673F73A9" w14:textId="77777777" w:rsidR="002961C5" w:rsidRDefault="002961C5" w:rsidP="004B054C">
            <w:pPr>
              <w:pStyle w:val="NoSpacing"/>
              <w:rPr>
                <w:sz w:val="20"/>
              </w:rPr>
            </w:pPr>
            <w:r w:rsidRPr="00C856F5">
              <w:rPr>
                <w:i/>
                <w:sz w:val="20"/>
              </w:rPr>
              <w:t>Rationale</w:t>
            </w:r>
            <w:r>
              <w:rPr>
                <w:sz w:val="20"/>
              </w:rPr>
              <w:t>:</w:t>
            </w:r>
          </w:p>
          <w:p w14:paraId="2736FD88" w14:textId="316F3A07" w:rsidR="002961C5" w:rsidRDefault="002961C5" w:rsidP="00121F38">
            <w:pPr>
              <w:pStyle w:val="NoSpacing"/>
            </w:pPr>
            <w:r w:rsidRPr="00982D60">
              <w:t>The</w:t>
            </w:r>
            <w:r>
              <w:t xml:space="preserve"> implementation of biosecurity measures and public awareness </w:t>
            </w:r>
            <w:r w:rsidR="00121F38">
              <w:t>campaigns can</w:t>
            </w:r>
            <w:r>
              <w:t xml:space="preserve"> have positive </w:t>
            </w:r>
            <w:r w:rsidR="00D1278A">
              <w:t xml:space="preserve">side </w:t>
            </w:r>
            <w:r>
              <w:t>effect</w:t>
            </w:r>
            <w:r w:rsidR="00121F38">
              <w:t>s on</w:t>
            </w:r>
            <w:r>
              <w:t xml:space="preserve"> native species and </w:t>
            </w:r>
            <w:r w:rsidR="00121F38">
              <w:t xml:space="preserve">the </w:t>
            </w:r>
            <w:r>
              <w:t>environment</w:t>
            </w:r>
            <w:r w:rsidRPr="00982D60">
              <w:t xml:space="preserve">, </w:t>
            </w:r>
            <w:r w:rsidR="00121F38">
              <w:t xml:space="preserve">as </w:t>
            </w:r>
            <w:r>
              <w:t xml:space="preserve">these measures can </w:t>
            </w:r>
            <w:r w:rsidR="00253A92">
              <w:t xml:space="preserve">also </w:t>
            </w:r>
            <w:r>
              <w:t xml:space="preserve">tackle other alien species. </w:t>
            </w:r>
            <w:r w:rsidRPr="00982D60">
              <w:t>A</w:t>
            </w:r>
            <w:r>
              <w:t>nother</w:t>
            </w:r>
            <w:r w:rsidRPr="00982D60">
              <w:t xml:space="preserve"> positive consequence</w:t>
            </w:r>
            <w:r>
              <w:t xml:space="preserve"> is that</w:t>
            </w:r>
            <w:r w:rsidRPr="00982D60">
              <w:t xml:space="preserve"> citizen</w:t>
            </w:r>
            <w:r>
              <w:t>s become proactive and feel involved in the management of IAS</w:t>
            </w:r>
            <w:r w:rsidRPr="00982D60">
              <w:t xml:space="preserve">. </w:t>
            </w:r>
          </w:p>
          <w:p w14:paraId="0844FCA1" w14:textId="0667196F" w:rsidR="00582164" w:rsidRPr="002B6463" w:rsidRDefault="00582164" w:rsidP="00582164">
            <w:pPr>
              <w:pStyle w:val="NoSpacing"/>
              <w:rPr>
                <w:sz w:val="20"/>
              </w:rPr>
            </w:pPr>
          </w:p>
        </w:tc>
      </w:tr>
      <w:tr w:rsidR="002961C5" w:rsidRPr="00C75EDD" w14:paraId="6F10B73A" w14:textId="77777777" w:rsidTr="004B054C">
        <w:tc>
          <w:tcPr>
            <w:tcW w:w="3295" w:type="dxa"/>
            <w:shd w:val="clear" w:color="auto" w:fill="DBE5F1" w:themeFill="accent1" w:themeFillTint="33"/>
          </w:tcPr>
          <w:p w14:paraId="5FDAEFBC" w14:textId="77777777" w:rsidR="002961C5" w:rsidRPr="0039672E" w:rsidRDefault="002961C5" w:rsidP="004B054C">
            <w:pPr>
              <w:pStyle w:val="NoSpacing"/>
              <w:rPr>
                <w:b/>
              </w:rPr>
            </w:pPr>
            <w:r w:rsidRPr="0039672E">
              <w:rPr>
                <w:b/>
              </w:rPr>
              <w:t>Acceptability to stakeholders</w:t>
            </w:r>
          </w:p>
          <w:p w14:paraId="6D2BF77B" w14:textId="77777777" w:rsidR="002961C5" w:rsidRDefault="002961C5" w:rsidP="004B054C">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4AC21102" w14:textId="77777777" w:rsidR="002961C5" w:rsidRDefault="002961C5" w:rsidP="004B054C">
            <w:pPr>
              <w:pStyle w:val="NoSpacing"/>
              <w:rPr>
                <w:sz w:val="20"/>
              </w:rPr>
            </w:pPr>
          </w:p>
          <w:p w14:paraId="12136627" w14:textId="77777777" w:rsidR="002961C5" w:rsidRPr="002B6463" w:rsidRDefault="002961C5" w:rsidP="004B054C">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2961C5" w14:paraId="511C487A" w14:textId="77777777" w:rsidTr="004B054C">
              <w:tc>
                <w:tcPr>
                  <w:tcW w:w="2116" w:type="dxa"/>
                </w:tcPr>
                <w:p w14:paraId="0D429347" w14:textId="77777777" w:rsidR="002961C5" w:rsidRPr="002E17F6" w:rsidRDefault="002961C5" w:rsidP="004B054C">
                  <w:pPr>
                    <w:pStyle w:val="NoSpacing"/>
                    <w:rPr>
                      <w:b/>
                      <w:i/>
                      <w:sz w:val="20"/>
                    </w:rPr>
                  </w:pPr>
                  <w:r w:rsidRPr="002E17F6">
                    <w:rPr>
                      <w:b/>
                      <w:i/>
                      <w:sz w:val="20"/>
                    </w:rPr>
                    <w:t>Acceptability to stakeholders</w:t>
                  </w:r>
                </w:p>
              </w:tc>
              <w:tc>
                <w:tcPr>
                  <w:tcW w:w="1701" w:type="dxa"/>
                </w:tcPr>
                <w:p w14:paraId="4E18CB9B" w14:textId="77777777" w:rsidR="002961C5" w:rsidRDefault="002961C5" w:rsidP="004B054C">
                  <w:pPr>
                    <w:pStyle w:val="NoSpacing"/>
                    <w:jc w:val="right"/>
                    <w:rPr>
                      <w:i/>
                      <w:sz w:val="20"/>
                    </w:rPr>
                  </w:pPr>
                  <w:r>
                    <w:rPr>
                      <w:i/>
                      <w:sz w:val="20"/>
                    </w:rPr>
                    <w:t>Acceptable</w:t>
                  </w:r>
                </w:p>
              </w:tc>
              <w:tc>
                <w:tcPr>
                  <w:tcW w:w="425" w:type="dxa"/>
                  <w:shd w:val="clear" w:color="auto" w:fill="DBE5F1" w:themeFill="accent1" w:themeFillTint="33"/>
                </w:tcPr>
                <w:p w14:paraId="2847D7B8" w14:textId="77777777" w:rsidR="002961C5" w:rsidRDefault="002961C5" w:rsidP="004B054C">
                  <w:pPr>
                    <w:pStyle w:val="NoSpacing"/>
                    <w:jc w:val="right"/>
                    <w:rPr>
                      <w:i/>
                      <w:sz w:val="20"/>
                    </w:rPr>
                  </w:pPr>
                </w:p>
              </w:tc>
              <w:tc>
                <w:tcPr>
                  <w:tcW w:w="2268" w:type="dxa"/>
                </w:tcPr>
                <w:p w14:paraId="672B8296" w14:textId="77777777" w:rsidR="002961C5" w:rsidRDefault="002961C5" w:rsidP="004B054C">
                  <w:pPr>
                    <w:pStyle w:val="NoSpacing"/>
                    <w:jc w:val="right"/>
                    <w:rPr>
                      <w:i/>
                      <w:sz w:val="20"/>
                    </w:rPr>
                  </w:pPr>
                  <w:r>
                    <w:rPr>
                      <w:i/>
                      <w:sz w:val="20"/>
                    </w:rPr>
                    <w:t>Neutral or mixed</w:t>
                  </w:r>
                </w:p>
              </w:tc>
              <w:tc>
                <w:tcPr>
                  <w:tcW w:w="425" w:type="dxa"/>
                  <w:shd w:val="clear" w:color="auto" w:fill="DBE5F1" w:themeFill="accent1" w:themeFillTint="33"/>
                </w:tcPr>
                <w:p w14:paraId="0B3D9F0B" w14:textId="77777777" w:rsidR="002961C5" w:rsidRDefault="002961C5" w:rsidP="004B054C">
                  <w:pPr>
                    <w:pStyle w:val="NoSpacing"/>
                    <w:jc w:val="right"/>
                    <w:rPr>
                      <w:i/>
                      <w:sz w:val="20"/>
                    </w:rPr>
                  </w:pPr>
                  <w:r>
                    <w:rPr>
                      <w:i/>
                      <w:sz w:val="20"/>
                    </w:rPr>
                    <w:t>X</w:t>
                  </w:r>
                </w:p>
              </w:tc>
              <w:tc>
                <w:tcPr>
                  <w:tcW w:w="2002" w:type="dxa"/>
                </w:tcPr>
                <w:p w14:paraId="560B27B6" w14:textId="77777777" w:rsidR="002961C5" w:rsidRDefault="002961C5" w:rsidP="004B054C">
                  <w:pPr>
                    <w:pStyle w:val="NoSpacing"/>
                    <w:jc w:val="right"/>
                    <w:rPr>
                      <w:i/>
                      <w:sz w:val="20"/>
                    </w:rPr>
                  </w:pPr>
                  <w:r>
                    <w:rPr>
                      <w:i/>
                      <w:sz w:val="20"/>
                    </w:rPr>
                    <w:t>Unacceptable</w:t>
                  </w:r>
                </w:p>
              </w:tc>
              <w:tc>
                <w:tcPr>
                  <w:tcW w:w="408" w:type="dxa"/>
                  <w:shd w:val="clear" w:color="auto" w:fill="DBE5F1" w:themeFill="accent1" w:themeFillTint="33"/>
                </w:tcPr>
                <w:p w14:paraId="04FF4C3C" w14:textId="77777777" w:rsidR="002961C5" w:rsidRDefault="002961C5" w:rsidP="004B054C">
                  <w:pPr>
                    <w:pStyle w:val="NoSpacing"/>
                    <w:rPr>
                      <w:i/>
                      <w:sz w:val="20"/>
                    </w:rPr>
                  </w:pPr>
                </w:p>
              </w:tc>
            </w:tr>
          </w:tbl>
          <w:p w14:paraId="45155061" w14:textId="77777777" w:rsidR="002961C5" w:rsidRDefault="002961C5" w:rsidP="004B054C">
            <w:pPr>
              <w:pStyle w:val="NoSpacing"/>
              <w:rPr>
                <w:i/>
                <w:sz w:val="20"/>
              </w:rPr>
            </w:pPr>
          </w:p>
          <w:p w14:paraId="5DB96DD5" w14:textId="77777777" w:rsidR="002961C5" w:rsidRDefault="002961C5" w:rsidP="004B054C">
            <w:pPr>
              <w:pStyle w:val="NoSpacing"/>
              <w:rPr>
                <w:sz w:val="20"/>
              </w:rPr>
            </w:pPr>
            <w:r w:rsidRPr="00C856F5">
              <w:rPr>
                <w:i/>
                <w:sz w:val="20"/>
              </w:rPr>
              <w:t>Rationale</w:t>
            </w:r>
            <w:r>
              <w:rPr>
                <w:sz w:val="20"/>
              </w:rPr>
              <w:t>:</w:t>
            </w:r>
          </w:p>
          <w:p w14:paraId="2DB760FE" w14:textId="652628E3" w:rsidR="002961C5" w:rsidRPr="00C75EDD" w:rsidRDefault="002961C5" w:rsidP="00480AE4">
            <w:pPr>
              <w:pStyle w:val="NoSpacing"/>
              <w:rPr>
                <w:sz w:val="20"/>
              </w:rPr>
            </w:pPr>
            <w:r>
              <w:t xml:space="preserve">Some initial resistance could be raised </w:t>
            </w:r>
            <w:r w:rsidR="00480AE4">
              <w:t xml:space="preserve">due to </w:t>
            </w:r>
            <w:r>
              <w:t xml:space="preserve">the cost of </w:t>
            </w:r>
            <w:r w:rsidR="00480AE4">
              <w:t xml:space="preserve">the </w:t>
            </w:r>
            <w:r>
              <w:t xml:space="preserve">biosecurity measures to be applied. </w:t>
            </w:r>
          </w:p>
        </w:tc>
      </w:tr>
      <w:tr w:rsidR="002961C5" w14:paraId="1A70ED9E" w14:textId="77777777" w:rsidTr="004B054C">
        <w:tc>
          <w:tcPr>
            <w:tcW w:w="3295" w:type="dxa"/>
            <w:shd w:val="clear" w:color="auto" w:fill="DBE5F1" w:themeFill="accent1" w:themeFillTint="33"/>
          </w:tcPr>
          <w:p w14:paraId="6F522CCB" w14:textId="77777777" w:rsidR="002961C5" w:rsidRPr="0039672E" w:rsidRDefault="002961C5" w:rsidP="004B054C">
            <w:pPr>
              <w:pStyle w:val="NoSpacing"/>
              <w:rPr>
                <w:b/>
              </w:rPr>
            </w:pPr>
            <w:r w:rsidRPr="0039672E">
              <w:rPr>
                <w:b/>
              </w:rPr>
              <w:t>Additional cost information</w:t>
            </w:r>
            <w:r>
              <w:rPr>
                <w:b/>
              </w:rPr>
              <w:t xml:space="preserve"> </w:t>
            </w:r>
            <w:r>
              <w:rPr>
                <w:b/>
                <w:vertAlign w:val="superscript"/>
              </w:rPr>
              <w:t>1</w:t>
            </w:r>
          </w:p>
          <w:p w14:paraId="3E8D6A59" w14:textId="77777777" w:rsidR="002961C5" w:rsidRDefault="002961C5" w:rsidP="004B054C">
            <w:pPr>
              <w:rPr>
                <w:sz w:val="20"/>
              </w:rPr>
            </w:pPr>
            <w:r>
              <w:rPr>
                <w:sz w:val="20"/>
              </w:rPr>
              <w:t xml:space="preserve">When not already included above, or in the species Risk Assessment. </w:t>
            </w:r>
          </w:p>
          <w:p w14:paraId="5235A2E3" w14:textId="77777777" w:rsidR="002961C5" w:rsidRPr="00E662A4" w:rsidRDefault="002961C5" w:rsidP="004B054C">
            <w:pPr>
              <w:rPr>
                <w:sz w:val="20"/>
              </w:rPr>
            </w:pPr>
            <w:r>
              <w:rPr>
                <w:sz w:val="20"/>
              </w:rPr>
              <w:lastRenderedPageBreak/>
              <w:t xml:space="preserve">- </w:t>
            </w:r>
            <w:r w:rsidRPr="00E662A4">
              <w:rPr>
                <w:sz w:val="20"/>
              </w:rPr>
              <w:t>implementation cost for Member States</w:t>
            </w:r>
          </w:p>
          <w:p w14:paraId="6EB6AE09" w14:textId="77777777" w:rsidR="002961C5" w:rsidRPr="00E662A4" w:rsidRDefault="002961C5" w:rsidP="004B054C">
            <w:pPr>
              <w:rPr>
                <w:sz w:val="20"/>
              </w:rPr>
            </w:pPr>
            <w:r>
              <w:rPr>
                <w:sz w:val="20"/>
              </w:rPr>
              <w:t xml:space="preserve">- </w:t>
            </w:r>
            <w:r w:rsidRPr="00E662A4">
              <w:rPr>
                <w:sz w:val="20"/>
              </w:rPr>
              <w:t>the cost of inaction</w:t>
            </w:r>
          </w:p>
          <w:p w14:paraId="713F8BB9" w14:textId="77777777" w:rsidR="002961C5" w:rsidRPr="00E662A4" w:rsidRDefault="002961C5" w:rsidP="004B054C">
            <w:pPr>
              <w:rPr>
                <w:sz w:val="20"/>
              </w:rPr>
            </w:pPr>
            <w:r>
              <w:rPr>
                <w:sz w:val="20"/>
              </w:rPr>
              <w:t xml:space="preserve">- </w:t>
            </w:r>
            <w:r w:rsidRPr="00E662A4">
              <w:rPr>
                <w:sz w:val="20"/>
              </w:rPr>
              <w:t>the cost-effectiveness</w:t>
            </w:r>
          </w:p>
          <w:p w14:paraId="2DE02D2C" w14:textId="77777777" w:rsidR="002961C5" w:rsidRDefault="002961C5" w:rsidP="004B054C">
            <w:pPr>
              <w:pStyle w:val="NoSpacing"/>
              <w:rPr>
                <w:sz w:val="20"/>
              </w:rPr>
            </w:pPr>
            <w:r>
              <w:rPr>
                <w:sz w:val="20"/>
              </w:rPr>
              <w:t xml:space="preserve">- </w:t>
            </w:r>
            <w:r w:rsidRPr="00E662A4">
              <w:rPr>
                <w:sz w:val="20"/>
              </w:rPr>
              <w:t>the socio-economic aspects</w:t>
            </w:r>
          </w:p>
          <w:p w14:paraId="0C31B94B" w14:textId="77777777" w:rsidR="002961C5" w:rsidRDefault="002961C5" w:rsidP="004B054C">
            <w:pPr>
              <w:pStyle w:val="NoSpacing"/>
              <w:rPr>
                <w:sz w:val="20"/>
              </w:rPr>
            </w:pPr>
          </w:p>
          <w:p w14:paraId="6A9E3096" w14:textId="77777777" w:rsidR="002961C5" w:rsidRPr="002B6463" w:rsidRDefault="002961C5" w:rsidP="004B054C">
            <w:pPr>
              <w:pStyle w:val="NoSpacing"/>
              <w:rPr>
                <w:sz w:val="20"/>
              </w:rPr>
            </w:pPr>
            <w:r>
              <w:rPr>
                <w:sz w:val="20"/>
              </w:rPr>
              <w:t>Include quantitative &amp;/or qualitative data, and case studies (incl. from countries outside the EU).</w:t>
            </w:r>
          </w:p>
        </w:tc>
        <w:tc>
          <w:tcPr>
            <w:tcW w:w="10653" w:type="dxa"/>
          </w:tcPr>
          <w:p w14:paraId="05C2BA47" w14:textId="45410731" w:rsidR="000553F4" w:rsidRPr="008B1E64" w:rsidRDefault="002961C5" w:rsidP="008B1E64">
            <w:pPr>
              <w:pStyle w:val="NoSpacing"/>
            </w:pPr>
            <w:r w:rsidRPr="00307180">
              <w:lastRenderedPageBreak/>
              <w:t xml:space="preserve">The cost of </w:t>
            </w:r>
            <w:r>
              <w:t>inaction w</w:t>
            </w:r>
            <w:r w:rsidRPr="00307180">
              <w:t>ould be high</w:t>
            </w:r>
            <w:r>
              <w:t xml:space="preserve">. In 2006, </w:t>
            </w:r>
            <w:r w:rsidR="00095F3C">
              <w:t xml:space="preserve">an </w:t>
            </w:r>
            <w:r w:rsidRPr="00C31187">
              <w:t xml:space="preserve">economic impact assessment found </w:t>
            </w:r>
            <w:r w:rsidR="00095F3C">
              <w:t xml:space="preserve">that </w:t>
            </w:r>
            <w:r w:rsidRPr="00C31187">
              <w:t xml:space="preserve">a 2-year delay to the arrival of didymo to the North Island </w:t>
            </w:r>
            <w:r w:rsidR="00095F3C">
              <w:t xml:space="preserve">of New Zealand </w:t>
            </w:r>
            <w:r w:rsidRPr="00C31187">
              <w:t>would represent a cost saving of between 34.5</w:t>
            </w:r>
            <w:r w:rsidR="00095F3C">
              <w:t xml:space="preserve"> </w:t>
            </w:r>
            <w:r w:rsidRPr="00C31187">
              <w:t>and 167.9</w:t>
            </w:r>
            <w:r w:rsidR="00095F3C">
              <w:t xml:space="preserve"> </w:t>
            </w:r>
            <w:r w:rsidRPr="00C31187">
              <w:t>m</w:t>
            </w:r>
            <w:r w:rsidR="00095F3C">
              <w:t>illion NZD</w:t>
            </w:r>
            <w:r w:rsidRPr="00C31187">
              <w:t xml:space="preserve"> </w:t>
            </w:r>
            <w:r w:rsidR="00095F3C">
              <w:t xml:space="preserve">(approximately 19.7 and 95.8 million EUR) </w:t>
            </w:r>
            <w:r w:rsidRPr="00C31187">
              <w:t xml:space="preserve">over the period </w:t>
            </w:r>
            <w:r w:rsidR="0045268D">
              <w:t xml:space="preserve">of </w:t>
            </w:r>
            <w:r w:rsidRPr="00C31187">
              <w:t xml:space="preserve">2004/05 to 2013/14. The same assessment estimated </w:t>
            </w:r>
            <w:r w:rsidRPr="00C31187">
              <w:lastRenderedPageBreak/>
              <w:t xml:space="preserve">that the cost saving to New Zealand delaying the spread of didymo to the North Island to June 2008 had been 2.15 </w:t>
            </w:r>
            <w:r w:rsidR="00CE1349">
              <w:t>NZD</w:t>
            </w:r>
            <w:r w:rsidR="00CE1349" w:rsidRPr="00C31187">
              <w:t xml:space="preserve"> </w:t>
            </w:r>
            <w:r w:rsidR="00CE1349">
              <w:t xml:space="preserve">(1.2 EUR) </w:t>
            </w:r>
            <w:r w:rsidRPr="00C31187">
              <w:t xml:space="preserve">for every 1 </w:t>
            </w:r>
            <w:r w:rsidR="00CE1349">
              <w:t>NZD</w:t>
            </w:r>
            <w:r w:rsidR="00CE1349" w:rsidRPr="00C31187">
              <w:t xml:space="preserve"> </w:t>
            </w:r>
            <w:r w:rsidR="00CE1349">
              <w:t xml:space="preserve">(0.57 EUR) </w:t>
            </w:r>
            <w:r w:rsidRPr="00C31187">
              <w:t>spent on social marketing</w:t>
            </w:r>
            <w:r>
              <w:rPr>
                <w:rStyle w:val="FootnoteReference"/>
              </w:rPr>
              <w:footnoteReference w:id="15"/>
            </w:r>
            <w:r>
              <w:t>.</w:t>
            </w:r>
            <w:r w:rsidRPr="00C31187">
              <w:t xml:space="preserve"> </w:t>
            </w:r>
          </w:p>
        </w:tc>
      </w:tr>
      <w:tr w:rsidR="002961C5" w:rsidRPr="00FA58FE" w14:paraId="083A0594" w14:textId="77777777" w:rsidTr="004B054C">
        <w:tc>
          <w:tcPr>
            <w:tcW w:w="3295" w:type="dxa"/>
            <w:tcBorders>
              <w:bottom w:val="single" w:sz="4" w:space="0" w:color="auto"/>
            </w:tcBorders>
            <w:shd w:val="clear" w:color="auto" w:fill="DBE5F1" w:themeFill="accent1" w:themeFillTint="33"/>
          </w:tcPr>
          <w:p w14:paraId="7958863C" w14:textId="77777777" w:rsidR="002961C5" w:rsidRDefault="002961C5" w:rsidP="004B054C">
            <w:pPr>
              <w:pStyle w:val="NoSpacing"/>
              <w:rPr>
                <w:b/>
              </w:rPr>
            </w:pPr>
            <w:r w:rsidRPr="002B6463">
              <w:rPr>
                <w:b/>
              </w:rPr>
              <w:lastRenderedPageBreak/>
              <w:t>Level of confidence</w:t>
            </w:r>
            <w:r>
              <w:rPr>
                <w:b/>
              </w:rPr>
              <w:t xml:space="preserve"> on the information provided </w:t>
            </w:r>
            <w:r>
              <w:rPr>
                <w:b/>
                <w:vertAlign w:val="superscript"/>
              </w:rPr>
              <w:t>2</w:t>
            </w:r>
          </w:p>
          <w:p w14:paraId="5422A2B5" w14:textId="77777777" w:rsidR="002961C5" w:rsidRDefault="002961C5" w:rsidP="004B054C">
            <w:pPr>
              <w:pStyle w:val="NoSpacing"/>
              <w:rPr>
                <w:rFonts w:eastAsia="Times New Roman" w:cstheme="minorHAnsi"/>
                <w:b/>
                <w:sz w:val="20"/>
                <w:szCs w:val="20"/>
              </w:rPr>
            </w:pPr>
          </w:p>
          <w:p w14:paraId="4FC8DDC8" w14:textId="77777777" w:rsidR="002961C5" w:rsidRPr="00DE32F5" w:rsidRDefault="002961C5" w:rsidP="004B054C">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67F12E4D" w14:textId="77777777" w:rsidR="002961C5" w:rsidRDefault="002961C5" w:rsidP="004B054C">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2961C5" w14:paraId="5462A52A" w14:textId="77777777" w:rsidTr="004B054C">
              <w:tc>
                <w:tcPr>
                  <w:tcW w:w="2024" w:type="dxa"/>
                </w:tcPr>
                <w:p w14:paraId="2A8A2859" w14:textId="77777777" w:rsidR="002961C5" w:rsidRPr="007C64EE" w:rsidRDefault="002961C5" w:rsidP="004B054C">
                  <w:pPr>
                    <w:pStyle w:val="NoSpacing"/>
                    <w:rPr>
                      <w:i/>
                      <w:sz w:val="20"/>
                    </w:rPr>
                  </w:pPr>
                  <w:r>
                    <w:rPr>
                      <w:i/>
                      <w:sz w:val="20"/>
                    </w:rPr>
                    <w:t>Inconclusive</w:t>
                  </w:r>
                </w:p>
              </w:tc>
              <w:tc>
                <w:tcPr>
                  <w:tcW w:w="375" w:type="dxa"/>
                  <w:shd w:val="clear" w:color="auto" w:fill="DBE5F1" w:themeFill="accent1" w:themeFillTint="33"/>
                </w:tcPr>
                <w:p w14:paraId="113AB926" w14:textId="77777777" w:rsidR="002961C5" w:rsidRDefault="002961C5" w:rsidP="004B054C">
                  <w:pPr>
                    <w:pStyle w:val="NoSpacing"/>
                    <w:jc w:val="right"/>
                    <w:rPr>
                      <w:i/>
                      <w:sz w:val="20"/>
                    </w:rPr>
                  </w:pPr>
                </w:p>
              </w:tc>
              <w:tc>
                <w:tcPr>
                  <w:tcW w:w="1559" w:type="dxa"/>
                </w:tcPr>
                <w:p w14:paraId="14DD9FFA" w14:textId="77777777" w:rsidR="002961C5" w:rsidRDefault="002961C5" w:rsidP="004B054C">
                  <w:pPr>
                    <w:pStyle w:val="NoSpacing"/>
                    <w:jc w:val="right"/>
                    <w:rPr>
                      <w:i/>
                      <w:sz w:val="20"/>
                    </w:rPr>
                  </w:pPr>
                  <w:r>
                    <w:rPr>
                      <w:i/>
                      <w:sz w:val="20"/>
                    </w:rPr>
                    <w:t>Unresolved</w:t>
                  </w:r>
                </w:p>
              </w:tc>
              <w:tc>
                <w:tcPr>
                  <w:tcW w:w="426" w:type="dxa"/>
                  <w:shd w:val="clear" w:color="auto" w:fill="DBE5F1" w:themeFill="accent1" w:themeFillTint="33"/>
                </w:tcPr>
                <w:p w14:paraId="154F0401" w14:textId="77777777" w:rsidR="002961C5" w:rsidRDefault="002961C5" w:rsidP="004B054C">
                  <w:pPr>
                    <w:pStyle w:val="NoSpacing"/>
                    <w:jc w:val="right"/>
                    <w:rPr>
                      <w:i/>
                      <w:sz w:val="20"/>
                    </w:rPr>
                  </w:pPr>
                </w:p>
              </w:tc>
              <w:tc>
                <w:tcPr>
                  <w:tcW w:w="2126" w:type="dxa"/>
                </w:tcPr>
                <w:p w14:paraId="13594719" w14:textId="77777777" w:rsidR="002961C5" w:rsidRDefault="002961C5" w:rsidP="004B054C">
                  <w:pPr>
                    <w:pStyle w:val="NoSpacing"/>
                    <w:jc w:val="right"/>
                    <w:rPr>
                      <w:i/>
                      <w:sz w:val="20"/>
                    </w:rPr>
                  </w:pPr>
                  <w:r>
                    <w:rPr>
                      <w:i/>
                      <w:sz w:val="20"/>
                    </w:rPr>
                    <w:t>Established but incomplete</w:t>
                  </w:r>
                </w:p>
              </w:tc>
              <w:tc>
                <w:tcPr>
                  <w:tcW w:w="425" w:type="dxa"/>
                  <w:shd w:val="clear" w:color="auto" w:fill="DBE5F1" w:themeFill="accent1" w:themeFillTint="33"/>
                </w:tcPr>
                <w:p w14:paraId="63094E6A" w14:textId="77777777" w:rsidR="002961C5" w:rsidRDefault="002961C5" w:rsidP="004B054C">
                  <w:pPr>
                    <w:pStyle w:val="NoSpacing"/>
                    <w:jc w:val="right"/>
                    <w:rPr>
                      <w:i/>
                      <w:sz w:val="20"/>
                    </w:rPr>
                  </w:pPr>
                  <w:r>
                    <w:rPr>
                      <w:i/>
                      <w:sz w:val="20"/>
                    </w:rPr>
                    <w:t>X</w:t>
                  </w:r>
                </w:p>
              </w:tc>
              <w:tc>
                <w:tcPr>
                  <w:tcW w:w="2268" w:type="dxa"/>
                </w:tcPr>
                <w:p w14:paraId="77122B85" w14:textId="77777777" w:rsidR="002961C5" w:rsidRDefault="002961C5" w:rsidP="004B054C">
                  <w:pPr>
                    <w:pStyle w:val="NoSpacing"/>
                    <w:jc w:val="right"/>
                    <w:rPr>
                      <w:i/>
                      <w:sz w:val="20"/>
                    </w:rPr>
                  </w:pPr>
                  <w:r>
                    <w:rPr>
                      <w:i/>
                      <w:sz w:val="20"/>
                    </w:rPr>
                    <w:t>Well established</w:t>
                  </w:r>
                </w:p>
              </w:tc>
              <w:tc>
                <w:tcPr>
                  <w:tcW w:w="425" w:type="dxa"/>
                  <w:shd w:val="clear" w:color="auto" w:fill="DBE5F1" w:themeFill="accent1" w:themeFillTint="33"/>
                </w:tcPr>
                <w:p w14:paraId="0F1C868E" w14:textId="77777777" w:rsidR="002961C5" w:rsidRDefault="002961C5" w:rsidP="004B054C">
                  <w:pPr>
                    <w:pStyle w:val="NoSpacing"/>
                    <w:rPr>
                      <w:i/>
                      <w:sz w:val="20"/>
                    </w:rPr>
                  </w:pPr>
                </w:p>
              </w:tc>
            </w:tr>
          </w:tbl>
          <w:p w14:paraId="67672335" w14:textId="77777777" w:rsidR="002961C5" w:rsidRDefault="002961C5" w:rsidP="004B054C">
            <w:pPr>
              <w:pStyle w:val="NoSpacing"/>
              <w:rPr>
                <w:i/>
                <w:sz w:val="20"/>
              </w:rPr>
            </w:pPr>
          </w:p>
          <w:p w14:paraId="7ABE981E" w14:textId="77777777" w:rsidR="002961C5" w:rsidRDefault="002961C5" w:rsidP="004B054C">
            <w:pPr>
              <w:pStyle w:val="NoSpacing"/>
              <w:rPr>
                <w:sz w:val="20"/>
              </w:rPr>
            </w:pPr>
            <w:r w:rsidRPr="00C856F5">
              <w:rPr>
                <w:i/>
                <w:sz w:val="20"/>
              </w:rPr>
              <w:t>Rationale</w:t>
            </w:r>
            <w:r>
              <w:rPr>
                <w:sz w:val="20"/>
              </w:rPr>
              <w:t>:</w:t>
            </w:r>
          </w:p>
          <w:p w14:paraId="7CDEBE5E" w14:textId="470B97DE" w:rsidR="002961C5" w:rsidRPr="00FA58FE" w:rsidRDefault="002961C5" w:rsidP="006671FF">
            <w:pPr>
              <w:pStyle w:val="NoSpacing"/>
              <w:rPr>
                <w:sz w:val="20"/>
                <w:szCs w:val="20"/>
              </w:rPr>
            </w:pPr>
            <w:r>
              <w:rPr>
                <w:szCs w:val="20"/>
              </w:rPr>
              <w:t xml:space="preserve">Check, clean and dry </w:t>
            </w:r>
            <w:r w:rsidR="006671FF">
              <w:rPr>
                <w:szCs w:val="20"/>
              </w:rPr>
              <w:t xml:space="preserve">biosecurity </w:t>
            </w:r>
            <w:r>
              <w:rPr>
                <w:szCs w:val="20"/>
              </w:rPr>
              <w:t xml:space="preserve">campaigns are increasing in numbers, as they are one of the </w:t>
            </w:r>
            <w:r w:rsidR="001F4017">
              <w:rPr>
                <w:szCs w:val="20"/>
              </w:rPr>
              <w:t xml:space="preserve">easiest </w:t>
            </w:r>
            <w:r>
              <w:rPr>
                <w:szCs w:val="20"/>
              </w:rPr>
              <w:t xml:space="preserve">and </w:t>
            </w:r>
            <w:r w:rsidR="001F4017">
              <w:rPr>
                <w:szCs w:val="20"/>
              </w:rPr>
              <w:t xml:space="preserve">most </w:t>
            </w:r>
            <w:r>
              <w:rPr>
                <w:szCs w:val="20"/>
              </w:rPr>
              <w:t xml:space="preserve">effective means to tackle </w:t>
            </w:r>
            <w:r w:rsidR="006671FF">
              <w:rPr>
                <w:szCs w:val="20"/>
              </w:rPr>
              <w:t xml:space="preserve">the spread of </w:t>
            </w:r>
            <w:r>
              <w:rPr>
                <w:szCs w:val="20"/>
              </w:rPr>
              <w:t>aquatic IAS. However, up to now, t</w:t>
            </w:r>
            <w:r w:rsidRPr="005B1C78">
              <w:rPr>
                <w:szCs w:val="20"/>
              </w:rPr>
              <w:t xml:space="preserve">here are no specific studies on </w:t>
            </w:r>
            <w:r w:rsidR="006671FF">
              <w:rPr>
                <w:szCs w:val="20"/>
              </w:rPr>
              <w:t xml:space="preserve">the </w:t>
            </w:r>
            <w:r w:rsidRPr="005B1C78">
              <w:rPr>
                <w:szCs w:val="20"/>
              </w:rPr>
              <w:t xml:space="preserve">effectiveness of prevention of </w:t>
            </w:r>
            <w:r>
              <w:rPr>
                <w:szCs w:val="20"/>
              </w:rPr>
              <w:t xml:space="preserve">secondary spread of </w:t>
            </w:r>
            <w:r w:rsidR="001937D1">
              <w:rPr>
                <w:szCs w:val="20"/>
              </w:rPr>
              <w:t xml:space="preserve">the </w:t>
            </w:r>
            <w:r w:rsidRPr="005B1C78">
              <w:rPr>
                <w:szCs w:val="20"/>
              </w:rPr>
              <w:t xml:space="preserve">Chinese mitten crab </w:t>
            </w:r>
            <w:r w:rsidR="006671FF">
              <w:rPr>
                <w:szCs w:val="20"/>
              </w:rPr>
              <w:t xml:space="preserve">using </w:t>
            </w:r>
            <w:r>
              <w:rPr>
                <w:szCs w:val="20"/>
              </w:rPr>
              <w:t>th</w:t>
            </w:r>
            <w:r w:rsidR="006671FF">
              <w:rPr>
                <w:szCs w:val="20"/>
              </w:rPr>
              <w:t xml:space="preserve">ese </w:t>
            </w:r>
            <w:r>
              <w:rPr>
                <w:szCs w:val="20"/>
              </w:rPr>
              <w:t>measure</w:t>
            </w:r>
            <w:r w:rsidR="006671FF">
              <w:rPr>
                <w:szCs w:val="20"/>
              </w:rPr>
              <w:t>s</w:t>
            </w:r>
            <w:r w:rsidRPr="005B1C78">
              <w:rPr>
                <w:szCs w:val="20"/>
              </w:rPr>
              <w:t>.</w:t>
            </w:r>
          </w:p>
        </w:tc>
      </w:tr>
    </w:tbl>
    <w:p w14:paraId="354BF459" w14:textId="0B36D335" w:rsidR="002961C5" w:rsidRDefault="002961C5"/>
    <w:p w14:paraId="515160A2" w14:textId="77777777" w:rsidR="002961C5" w:rsidRDefault="002961C5"/>
    <w:tbl>
      <w:tblPr>
        <w:tblStyle w:val="TableGrid"/>
        <w:tblW w:w="0" w:type="auto"/>
        <w:tblLook w:val="04A0" w:firstRow="1" w:lastRow="0" w:firstColumn="1" w:lastColumn="0" w:noHBand="0" w:noVBand="1"/>
      </w:tblPr>
      <w:tblGrid>
        <w:gridCol w:w="3295"/>
        <w:gridCol w:w="10653"/>
      </w:tblGrid>
      <w:tr w:rsidR="005A7D4A" w14:paraId="60FB636B" w14:textId="77777777" w:rsidTr="001009AE">
        <w:tc>
          <w:tcPr>
            <w:tcW w:w="13948" w:type="dxa"/>
            <w:gridSpan w:val="2"/>
            <w:shd w:val="clear" w:color="auto" w:fill="244061" w:themeFill="accent1" w:themeFillShade="80"/>
          </w:tcPr>
          <w:p w14:paraId="124E4D62" w14:textId="77777777" w:rsidR="005A7D4A" w:rsidRPr="00346840" w:rsidRDefault="005A7D4A" w:rsidP="001009AE">
            <w:pPr>
              <w:pStyle w:val="NoSpacing"/>
              <w:rPr>
                <w:rFonts w:cstheme="minorHAnsi"/>
                <w:b/>
                <w:sz w:val="20"/>
                <w:szCs w:val="24"/>
              </w:rPr>
            </w:pPr>
            <w:r>
              <w:rPr>
                <w:rFonts w:eastAsia="Times New Roman"/>
                <w:b/>
                <w:sz w:val="28"/>
              </w:rPr>
              <w:t xml:space="preserve">Prevention of </w:t>
            </w:r>
            <w:r>
              <w:rPr>
                <w:rFonts w:eastAsia="Times New Roman"/>
                <w:b/>
                <w:sz w:val="28"/>
                <w:u w:val="single"/>
              </w:rPr>
              <w:t xml:space="preserve">secondary spread </w:t>
            </w:r>
            <w:r w:rsidRPr="00346840">
              <w:rPr>
                <w:rFonts w:eastAsia="Times New Roman"/>
                <w:b/>
                <w:sz w:val="28"/>
              </w:rPr>
              <w:t>of the species</w:t>
            </w:r>
            <w:r>
              <w:rPr>
                <w:rFonts w:eastAsia="Times New Roman"/>
                <w:b/>
                <w:sz w:val="28"/>
              </w:rPr>
              <w:t xml:space="preserve"> </w:t>
            </w:r>
            <w:r>
              <w:rPr>
                <w:rFonts w:cstheme="minorHAnsi"/>
                <w:sz w:val="20"/>
                <w:szCs w:val="20"/>
              </w:rPr>
              <w:t>– measures for preventing the species spreading once they have been introduced (cf. Article 13 of the IAS Regulation</w:t>
            </w:r>
            <w:r w:rsidRPr="00280410">
              <w:rPr>
                <w:rFonts w:cstheme="minorHAnsi"/>
                <w:sz w:val="20"/>
                <w:szCs w:val="20"/>
              </w:rPr>
              <w:t>)</w:t>
            </w:r>
            <w:r>
              <w:rPr>
                <w:rFonts w:cstheme="minorHAnsi"/>
                <w:sz w:val="20"/>
                <w:szCs w:val="20"/>
              </w:rPr>
              <w:t>.</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 xml:space="preserve">is repeated for each of the </w:t>
            </w:r>
            <w:r w:rsidRPr="00280410">
              <w:rPr>
                <w:rFonts w:cstheme="minorHAnsi"/>
                <w:b/>
                <w:sz w:val="20"/>
                <w:szCs w:val="24"/>
              </w:rPr>
              <w:t>prevention measures</w:t>
            </w:r>
            <w:r>
              <w:rPr>
                <w:rFonts w:cstheme="minorHAnsi"/>
                <w:b/>
                <w:sz w:val="20"/>
                <w:szCs w:val="24"/>
              </w:rPr>
              <w:t xml:space="preserve"> identified</w:t>
            </w:r>
            <w:r w:rsidRPr="00280410">
              <w:rPr>
                <w:rFonts w:cstheme="minorHAnsi"/>
                <w:b/>
                <w:sz w:val="20"/>
                <w:szCs w:val="24"/>
              </w:rPr>
              <w:t>.</w:t>
            </w:r>
          </w:p>
        </w:tc>
      </w:tr>
      <w:tr w:rsidR="00A430C4" w14:paraId="5E5E05DF" w14:textId="77777777" w:rsidTr="00BD3B76">
        <w:trPr>
          <w:trHeight w:val="517"/>
        </w:trPr>
        <w:tc>
          <w:tcPr>
            <w:tcW w:w="3295" w:type="dxa"/>
            <w:tcBorders>
              <w:bottom w:val="single" w:sz="4" w:space="0" w:color="auto"/>
            </w:tcBorders>
            <w:shd w:val="clear" w:color="auto" w:fill="DBE5F1" w:themeFill="accent1" w:themeFillTint="33"/>
          </w:tcPr>
          <w:p w14:paraId="1C23DE11" w14:textId="77777777" w:rsidR="00A430C4" w:rsidRDefault="00A430C4" w:rsidP="00BD3B76">
            <w:pPr>
              <w:pStyle w:val="NoSpacing"/>
              <w:rPr>
                <w:b/>
              </w:rPr>
            </w:pPr>
            <w:r>
              <w:rPr>
                <w:b/>
              </w:rPr>
              <w:t>Measure description</w:t>
            </w:r>
          </w:p>
          <w:p w14:paraId="270AEB0C" w14:textId="77777777" w:rsidR="00A430C4" w:rsidRDefault="00A430C4" w:rsidP="00BD3B76">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p w14:paraId="68E80007" w14:textId="77777777" w:rsidR="00A430C4" w:rsidRPr="002B6463" w:rsidRDefault="00A430C4" w:rsidP="00BD3B76">
            <w:pPr>
              <w:pStyle w:val="NoSpacing"/>
              <w:rPr>
                <w:b/>
                <w:sz w:val="28"/>
              </w:rPr>
            </w:pPr>
          </w:p>
        </w:tc>
        <w:tc>
          <w:tcPr>
            <w:tcW w:w="10653" w:type="dxa"/>
            <w:tcBorders>
              <w:bottom w:val="single" w:sz="4" w:space="0" w:color="auto"/>
            </w:tcBorders>
          </w:tcPr>
          <w:p w14:paraId="26E9BE77" w14:textId="1576EE6E" w:rsidR="00A430C4" w:rsidRPr="005A0032" w:rsidRDefault="00E87F36" w:rsidP="00BD3B76">
            <w:pPr>
              <w:rPr>
                <w:b/>
              </w:rPr>
            </w:pPr>
            <w:r w:rsidRPr="005A0032">
              <w:rPr>
                <w:b/>
              </w:rPr>
              <w:t>Installing b</w:t>
            </w:r>
            <w:r w:rsidR="004F3B37" w:rsidRPr="005A0032">
              <w:rPr>
                <w:b/>
              </w:rPr>
              <w:t>arriers</w:t>
            </w:r>
          </w:p>
          <w:p w14:paraId="6B684A17" w14:textId="77777777" w:rsidR="000D15CC" w:rsidRPr="005A0032" w:rsidRDefault="000D15CC" w:rsidP="00BD3B76"/>
          <w:p w14:paraId="46419F42" w14:textId="1A507C5E" w:rsidR="006940CA" w:rsidRDefault="000D15CC" w:rsidP="00BD3B76">
            <w:r w:rsidRPr="005A0032">
              <w:t xml:space="preserve">The species can </w:t>
            </w:r>
            <w:r w:rsidR="00592F87" w:rsidRPr="005A0032">
              <w:t>disperse</w:t>
            </w:r>
            <w:r w:rsidRPr="005A0032">
              <w:t xml:space="preserve"> through interconnected water systems </w:t>
            </w:r>
            <w:r w:rsidR="00592F87" w:rsidRPr="005A0032">
              <w:t xml:space="preserve">from neighbouring </w:t>
            </w:r>
            <w:r w:rsidR="0031214E">
              <w:t xml:space="preserve">areas or </w:t>
            </w:r>
            <w:r w:rsidR="00592F87" w:rsidRPr="005A0032">
              <w:t>countries</w:t>
            </w:r>
            <w:r w:rsidR="00D76421">
              <w:t>,</w:t>
            </w:r>
            <w:r w:rsidR="00592F87" w:rsidRPr="005A0032">
              <w:t xml:space="preserve"> </w:t>
            </w:r>
            <w:r w:rsidR="00AB7D04">
              <w:t xml:space="preserve">invading new ones, </w:t>
            </w:r>
            <w:r w:rsidRPr="005A0032">
              <w:t xml:space="preserve">as </w:t>
            </w:r>
            <w:r w:rsidR="007F3AA1">
              <w:t xml:space="preserve">has </w:t>
            </w:r>
            <w:r w:rsidRPr="005A0032">
              <w:t xml:space="preserve">happened in Austria or Serbia. </w:t>
            </w:r>
            <w:r w:rsidR="009C26E7" w:rsidRPr="005A0032">
              <w:t>Young crabs and young adults actively migrate upstream</w:t>
            </w:r>
            <w:r w:rsidR="00E87F36" w:rsidRPr="005A0032">
              <w:t xml:space="preserve"> (</w:t>
            </w:r>
            <w:proofErr w:type="spellStart"/>
            <w:r w:rsidR="00E87F36" w:rsidRPr="005A0032">
              <w:t>Gollasch</w:t>
            </w:r>
            <w:proofErr w:type="spellEnd"/>
            <w:r w:rsidR="00E87F36" w:rsidRPr="005A0032">
              <w:t>, 2011).</w:t>
            </w:r>
            <w:r w:rsidR="009C26E7" w:rsidRPr="005A0032">
              <w:t xml:space="preserve"> In their native distribution</w:t>
            </w:r>
            <w:r w:rsidR="00F6332C">
              <w:t xml:space="preserve"> area</w:t>
            </w:r>
            <w:r w:rsidR="009C26E7" w:rsidRPr="005A0032">
              <w:t xml:space="preserve">, living crabs have been found many hundred kilometres upstream the river </w:t>
            </w:r>
            <w:proofErr w:type="spellStart"/>
            <w:r w:rsidR="009C26E7" w:rsidRPr="005A0032">
              <w:t>Jangtsekiang</w:t>
            </w:r>
            <w:proofErr w:type="spellEnd"/>
            <w:r w:rsidR="009C26E7" w:rsidRPr="005A0032">
              <w:t xml:space="preserve"> (</w:t>
            </w:r>
            <w:proofErr w:type="spellStart"/>
            <w:r w:rsidR="009C26E7" w:rsidRPr="005A0032">
              <w:t>Gollasch</w:t>
            </w:r>
            <w:proofErr w:type="spellEnd"/>
            <w:r w:rsidR="009C26E7" w:rsidRPr="005A0032">
              <w:t>, 2011). In Europe</w:t>
            </w:r>
            <w:r w:rsidR="00F6332C">
              <w:t>,</w:t>
            </w:r>
            <w:r w:rsidR="009C26E7" w:rsidRPr="005A0032">
              <w:t xml:space="preserve"> crabs are found frequently in the eastern Gulf of Finland, located more than 1500 km from the main area of abundance, the German Bight (</w:t>
            </w:r>
            <w:proofErr w:type="spellStart"/>
            <w:r w:rsidR="009C26E7" w:rsidRPr="005A0032">
              <w:t>Ojaveer</w:t>
            </w:r>
            <w:proofErr w:type="spellEnd"/>
            <w:r w:rsidR="009C26E7" w:rsidRPr="005A0032">
              <w:t xml:space="preserve"> et al., 2007).</w:t>
            </w:r>
            <w:r w:rsidR="00594879" w:rsidRPr="005A0032">
              <w:t xml:space="preserve"> However, </w:t>
            </w:r>
            <w:r w:rsidR="00F6332C" w:rsidRPr="005A0032">
              <w:t>being a catadromous species</w:t>
            </w:r>
            <w:r w:rsidR="00F6332C">
              <w:t>,</w:t>
            </w:r>
            <w:r w:rsidR="00F6332C" w:rsidRPr="005A0032">
              <w:t xml:space="preserve"> </w:t>
            </w:r>
            <w:r w:rsidR="00594879" w:rsidRPr="005A0032">
              <w:t xml:space="preserve">there are no self-sustaining, land-locked populations of mitten crabs. </w:t>
            </w:r>
          </w:p>
          <w:p w14:paraId="538115F5" w14:textId="26CBC0A2" w:rsidR="00D76421" w:rsidRDefault="009C26E7" w:rsidP="00BD3B76">
            <w:r w:rsidRPr="005A0032">
              <w:lastRenderedPageBreak/>
              <w:t>E</w:t>
            </w:r>
            <w:r w:rsidR="00A16533" w:rsidRPr="005A0032">
              <w:t>lectric or physical barriers could be installed to prevent the arrival of the species</w:t>
            </w:r>
            <w:r w:rsidR="006940CA">
              <w:t xml:space="preserve"> to new </w:t>
            </w:r>
            <w:r w:rsidR="0031214E">
              <w:t xml:space="preserve">areas or </w:t>
            </w:r>
            <w:r w:rsidR="006940CA">
              <w:t>countries</w:t>
            </w:r>
            <w:r w:rsidR="00E922DB" w:rsidRPr="005A0032">
              <w:t>.</w:t>
            </w:r>
            <w:r w:rsidR="004A5CC0" w:rsidRPr="005A0032">
              <w:t xml:space="preserve"> Barriers, bars, K-rails </w:t>
            </w:r>
            <w:r w:rsidR="009F3C28" w:rsidRPr="005A0032">
              <w:t xml:space="preserve">similar to a concrete highway barrier </w:t>
            </w:r>
            <w:r w:rsidR="004A5CC0" w:rsidRPr="005A0032">
              <w:t xml:space="preserve">and traveling screens </w:t>
            </w:r>
            <w:r w:rsidR="007D540D" w:rsidRPr="005A0032">
              <w:t>(1.2-1.8 m high</w:t>
            </w:r>
            <w:r w:rsidR="0020645C">
              <w:t>,</w:t>
            </w:r>
            <w:r w:rsidR="007D540D" w:rsidRPr="005A0032">
              <w:t xml:space="preserve"> with 2.5 cm openings</w:t>
            </w:r>
            <w:r w:rsidR="00186C45" w:rsidRPr="005A0032">
              <w:t>)</w:t>
            </w:r>
            <w:r w:rsidR="007D540D" w:rsidRPr="005A0032">
              <w:t xml:space="preserve"> </w:t>
            </w:r>
            <w:r w:rsidR="009F3C28" w:rsidRPr="005A0032">
              <w:t xml:space="preserve">have been </w:t>
            </w:r>
            <w:r w:rsidR="0020645C" w:rsidRPr="005A0032">
              <w:t>tested</w:t>
            </w:r>
            <w:r w:rsidR="009F3C28" w:rsidRPr="005A0032">
              <w:t xml:space="preserve"> in</w:t>
            </w:r>
            <w:r w:rsidR="00E922DB" w:rsidRPr="005A0032">
              <w:t xml:space="preserve"> </w:t>
            </w:r>
            <w:r w:rsidR="0020645C">
              <w:t xml:space="preserve">the </w:t>
            </w:r>
            <w:r w:rsidR="00E87F36" w:rsidRPr="005A0032">
              <w:t>US</w:t>
            </w:r>
            <w:r w:rsidR="0020645C">
              <w:t>A</w:t>
            </w:r>
            <w:r w:rsidR="00314974" w:rsidRPr="005A0032">
              <w:t xml:space="preserve">, especially to prevent impacts in fish salvage facilities </w:t>
            </w:r>
            <w:r w:rsidR="00E922DB" w:rsidRPr="005A0032">
              <w:t>(</w:t>
            </w:r>
            <w:r w:rsidR="00E87F36" w:rsidRPr="005A0032">
              <w:t>Chinese Mitten Crab Working Group, 2003).</w:t>
            </w:r>
            <w:r w:rsidR="0011245E" w:rsidRPr="005A0032">
              <w:t xml:space="preserve"> </w:t>
            </w:r>
            <w:r w:rsidR="006F6BB5" w:rsidRPr="005A0032">
              <w:t xml:space="preserve">Electrical screens can be placed on the river bottom in areas where crabs congregate (Eberhardt et al., 2016). </w:t>
            </w:r>
            <w:r w:rsidR="00504DAE">
              <w:t>The implementation</w:t>
            </w:r>
            <w:r w:rsidR="006E2A82" w:rsidRPr="005A0032">
              <w:t xml:space="preserve"> of b</w:t>
            </w:r>
            <w:r w:rsidR="00BD3B76" w:rsidRPr="005A0032">
              <w:t>arriers involves professionals</w:t>
            </w:r>
            <w:r w:rsidR="00504DAE">
              <w:t>,</w:t>
            </w:r>
            <w:r w:rsidR="00BD3B76" w:rsidRPr="005A0032">
              <w:t xml:space="preserve"> </w:t>
            </w:r>
            <w:r w:rsidR="00504DAE">
              <w:t>but v</w:t>
            </w:r>
            <w:r w:rsidR="00BD3B76" w:rsidRPr="005A0032">
              <w:t xml:space="preserve">olunteers can be used to check them. </w:t>
            </w:r>
          </w:p>
          <w:p w14:paraId="00E38B04" w14:textId="77777777" w:rsidR="00D76421" w:rsidRDefault="00D76421" w:rsidP="00BD3B76"/>
          <w:p w14:paraId="59AFBBC3" w14:textId="1994708F" w:rsidR="00A430C4" w:rsidRDefault="00674D69" w:rsidP="00BD3B76">
            <w:r w:rsidRPr="005A0032">
              <w:t>Barriers</w:t>
            </w:r>
            <w:r w:rsidR="00AE435C" w:rsidRPr="005A0032">
              <w:t xml:space="preserve"> can also be applied for </w:t>
            </w:r>
            <w:r w:rsidR="00D76421">
              <w:rPr>
                <w:rFonts w:ascii="Calibri" w:eastAsia="Calibri" w:hAnsi="Calibri" w:cs="Times New Roman"/>
                <w:lang w:eastAsia="en-US"/>
              </w:rPr>
              <w:t>rapid</w:t>
            </w:r>
            <w:r w:rsidR="00D76421" w:rsidRPr="00244131">
              <w:rPr>
                <w:rFonts w:ascii="Calibri" w:eastAsia="Calibri" w:hAnsi="Calibri" w:cs="Times New Roman"/>
                <w:lang w:eastAsia="en-US"/>
              </w:rPr>
              <w:t xml:space="preserve"> </w:t>
            </w:r>
            <w:r w:rsidR="00D81CFB" w:rsidRPr="005A0032">
              <w:t>eradication</w:t>
            </w:r>
            <w:r w:rsidR="00DA4C14" w:rsidRPr="005A0032">
              <w:t xml:space="preserve"> </w:t>
            </w:r>
            <w:r w:rsidR="000E7F68">
              <w:t xml:space="preserve">and for </w:t>
            </w:r>
            <w:r w:rsidR="00DA4C14" w:rsidRPr="005A0032">
              <w:t>manag</w:t>
            </w:r>
            <w:r w:rsidR="00D81CFB" w:rsidRPr="005A0032">
              <w:t>ement of</w:t>
            </w:r>
            <w:r w:rsidR="00DA4C14" w:rsidRPr="005A0032">
              <w:t xml:space="preserve"> the species</w:t>
            </w:r>
            <w:r w:rsidR="00AE435C" w:rsidRPr="005A0032">
              <w:t xml:space="preserve">, especially during the migration period from the sea. </w:t>
            </w:r>
          </w:p>
          <w:p w14:paraId="703C8F9A" w14:textId="58AC0103" w:rsidR="005A0032" w:rsidRDefault="005A0032" w:rsidP="00BD3B76">
            <w:pPr>
              <w:rPr>
                <w:b/>
              </w:rPr>
            </w:pPr>
          </w:p>
        </w:tc>
      </w:tr>
      <w:tr w:rsidR="00A430C4" w14:paraId="07F3B884" w14:textId="77777777" w:rsidTr="00BD3B76">
        <w:trPr>
          <w:trHeight w:val="517"/>
        </w:trPr>
        <w:tc>
          <w:tcPr>
            <w:tcW w:w="3295" w:type="dxa"/>
            <w:tcBorders>
              <w:bottom w:val="single" w:sz="4" w:space="0" w:color="auto"/>
            </w:tcBorders>
            <w:shd w:val="clear" w:color="auto" w:fill="DBE5F1" w:themeFill="accent1" w:themeFillTint="33"/>
          </w:tcPr>
          <w:p w14:paraId="581430D3" w14:textId="77777777" w:rsidR="00A430C4" w:rsidRDefault="00A430C4" w:rsidP="00BD3B76">
            <w:pPr>
              <w:pStyle w:val="NoSpacing"/>
              <w:rPr>
                <w:b/>
              </w:rPr>
            </w:pPr>
            <w:r>
              <w:rPr>
                <w:b/>
              </w:rPr>
              <w:lastRenderedPageBreak/>
              <w:t>Scale of application</w:t>
            </w:r>
          </w:p>
          <w:p w14:paraId="74668FAC" w14:textId="32186FDB" w:rsidR="00A430C4" w:rsidRPr="00DE32F5" w:rsidRDefault="00A430C4" w:rsidP="00B15733">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tc>
        <w:tc>
          <w:tcPr>
            <w:tcW w:w="10653" w:type="dxa"/>
            <w:tcBorders>
              <w:bottom w:val="single" w:sz="4" w:space="0" w:color="auto"/>
            </w:tcBorders>
          </w:tcPr>
          <w:p w14:paraId="1DA2C1DB" w14:textId="5EE96B84" w:rsidR="00A430C4" w:rsidRPr="005E41BC" w:rsidRDefault="005E41BC" w:rsidP="0026624A">
            <w:pPr>
              <w:rPr>
                <w:sz w:val="20"/>
                <w:szCs w:val="20"/>
              </w:rPr>
            </w:pPr>
            <w:r w:rsidRPr="005A0032">
              <w:rPr>
                <w:szCs w:val="20"/>
              </w:rPr>
              <w:t>Local scale</w:t>
            </w:r>
            <w:r w:rsidR="005E370F" w:rsidRPr="005A0032">
              <w:rPr>
                <w:szCs w:val="20"/>
              </w:rPr>
              <w:t xml:space="preserve">, </w:t>
            </w:r>
            <w:r w:rsidR="0026624A">
              <w:rPr>
                <w:szCs w:val="20"/>
              </w:rPr>
              <w:t xml:space="preserve">but </w:t>
            </w:r>
            <w:r w:rsidR="005E370F" w:rsidRPr="005A0032">
              <w:rPr>
                <w:szCs w:val="20"/>
              </w:rPr>
              <w:t xml:space="preserve">it depends </w:t>
            </w:r>
            <w:r w:rsidR="0026624A">
              <w:rPr>
                <w:szCs w:val="20"/>
              </w:rPr>
              <w:t>on</w:t>
            </w:r>
            <w:r w:rsidR="0026624A" w:rsidRPr="005A0032">
              <w:rPr>
                <w:szCs w:val="20"/>
              </w:rPr>
              <w:t xml:space="preserve"> </w:t>
            </w:r>
            <w:r w:rsidR="005E370F" w:rsidRPr="005A0032">
              <w:rPr>
                <w:szCs w:val="20"/>
              </w:rPr>
              <w:t>the river.</w:t>
            </w:r>
            <w:r w:rsidRPr="005A0032">
              <w:rPr>
                <w:szCs w:val="20"/>
              </w:rPr>
              <w:t xml:space="preserve"> </w:t>
            </w:r>
          </w:p>
        </w:tc>
      </w:tr>
      <w:tr w:rsidR="00A430C4" w:rsidRPr="002B6463" w14:paraId="29D98963" w14:textId="77777777" w:rsidTr="00BD3B76">
        <w:trPr>
          <w:trHeight w:val="2222"/>
        </w:trPr>
        <w:tc>
          <w:tcPr>
            <w:tcW w:w="3295" w:type="dxa"/>
            <w:tcBorders>
              <w:top w:val="single" w:sz="4" w:space="0" w:color="auto"/>
            </w:tcBorders>
            <w:shd w:val="clear" w:color="auto" w:fill="DBE5F1" w:themeFill="accent1" w:themeFillTint="33"/>
          </w:tcPr>
          <w:p w14:paraId="2BFA5E25" w14:textId="1C05A65C" w:rsidR="00A430C4" w:rsidRPr="0039672E" w:rsidRDefault="00A430C4" w:rsidP="00BD3B76">
            <w:pPr>
              <w:pStyle w:val="NoSpacing"/>
              <w:rPr>
                <w:b/>
              </w:rPr>
            </w:pPr>
            <w:r w:rsidRPr="0039672E">
              <w:rPr>
                <w:b/>
              </w:rPr>
              <w:t xml:space="preserve">Effectiveness of </w:t>
            </w:r>
            <w:r>
              <w:rPr>
                <w:b/>
              </w:rPr>
              <w:t xml:space="preserve">the </w:t>
            </w:r>
            <w:r w:rsidRPr="0039672E">
              <w:rPr>
                <w:b/>
              </w:rPr>
              <w:t>measure</w:t>
            </w:r>
          </w:p>
          <w:p w14:paraId="3EFA8224" w14:textId="77777777" w:rsidR="00A430C4" w:rsidRPr="0039672E" w:rsidRDefault="00A430C4" w:rsidP="00BD3B76">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2B5F6A9C" w14:textId="77777777" w:rsidR="00A430C4" w:rsidRDefault="00A430C4" w:rsidP="00BD3B76">
            <w:pPr>
              <w:pStyle w:val="NoSpacing"/>
              <w:rPr>
                <w:sz w:val="20"/>
              </w:rPr>
            </w:pPr>
          </w:p>
          <w:p w14:paraId="068999BF" w14:textId="77777777" w:rsidR="00A430C4" w:rsidRPr="00DE32F5" w:rsidRDefault="00A430C4" w:rsidP="00BD3B76">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275"/>
              <w:gridCol w:w="426"/>
              <w:gridCol w:w="973"/>
              <w:gridCol w:w="425"/>
              <w:gridCol w:w="1295"/>
              <w:gridCol w:w="425"/>
              <w:gridCol w:w="1276"/>
              <w:gridCol w:w="425"/>
            </w:tblGrid>
            <w:tr w:rsidR="00A430C4" w14:paraId="3897253D" w14:textId="77777777" w:rsidTr="00BD3B76">
              <w:tc>
                <w:tcPr>
                  <w:tcW w:w="2116" w:type="dxa"/>
                </w:tcPr>
                <w:p w14:paraId="67DBFB44" w14:textId="77777777" w:rsidR="00A430C4" w:rsidRPr="002E17F6" w:rsidRDefault="00A430C4" w:rsidP="00BD3B76">
                  <w:pPr>
                    <w:pStyle w:val="NoSpacing"/>
                    <w:rPr>
                      <w:b/>
                      <w:i/>
                      <w:sz w:val="20"/>
                    </w:rPr>
                  </w:pPr>
                  <w:r>
                    <w:rPr>
                      <w:b/>
                      <w:i/>
                      <w:sz w:val="20"/>
                    </w:rPr>
                    <w:t>Effectiveness of measures</w:t>
                  </w:r>
                </w:p>
              </w:tc>
              <w:tc>
                <w:tcPr>
                  <w:tcW w:w="1275" w:type="dxa"/>
                </w:tcPr>
                <w:p w14:paraId="7D435975" w14:textId="77777777" w:rsidR="00A430C4" w:rsidRDefault="00A430C4" w:rsidP="00BD3B76">
                  <w:pPr>
                    <w:pStyle w:val="NoSpacing"/>
                    <w:jc w:val="right"/>
                    <w:rPr>
                      <w:i/>
                      <w:sz w:val="20"/>
                    </w:rPr>
                  </w:pPr>
                  <w:r>
                    <w:rPr>
                      <w:i/>
                      <w:sz w:val="20"/>
                    </w:rPr>
                    <w:t>Effective</w:t>
                  </w:r>
                </w:p>
              </w:tc>
              <w:tc>
                <w:tcPr>
                  <w:tcW w:w="426" w:type="dxa"/>
                  <w:shd w:val="clear" w:color="auto" w:fill="DBE5F1" w:themeFill="accent1" w:themeFillTint="33"/>
                </w:tcPr>
                <w:p w14:paraId="1BCBE414" w14:textId="77777777" w:rsidR="00A430C4" w:rsidRDefault="00A430C4" w:rsidP="00BD3B76">
                  <w:pPr>
                    <w:pStyle w:val="NoSpacing"/>
                    <w:jc w:val="right"/>
                    <w:rPr>
                      <w:i/>
                      <w:sz w:val="20"/>
                    </w:rPr>
                  </w:pPr>
                </w:p>
              </w:tc>
              <w:tc>
                <w:tcPr>
                  <w:tcW w:w="973" w:type="dxa"/>
                </w:tcPr>
                <w:p w14:paraId="77F98F6E" w14:textId="77777777" w:rsidR="00A430C4" w:rsidRDefault="00A430C4" w:rsidP="00BD3B76">
                  <w:pPr>
                    <w:pStyle w:val="NoSpacing"/>
                    <w:jc w:val="right"/>
                    <w:rPr>
                      <w:i/>
                      <w:sz w:val="20"/>
                    </w:rPr>
                  </w:pPr>
                  <w:r>
                    <w:rPr>
                      <w:i/>
                      <w:sz w:val="20"/>
                    </w:rPr>
                    <w:t xml:space="preserve">Neutral </w:t>
                  </w:r>
                </w:p>
              </w:tc>
              <w:tc>
                <w:tcPr>
                  <w:tcW w:w="425" w:type="dxa"/>
                  <w:shd w:val="clear" w:color="auto" w:fill="DBE5F1" w:themeFill="accent1" w:themeFillTint="33"/>
                </w:tcPr>
                <w:p w14:paraId="3C0069B2" w14:textId="70C6DBCF" w:rsidR="00A430C4" w:rsidRDefault="00A430C4" w:rsidP="00BD3B76">
                  <w:pPr>
                    <w:pStyle w:val="NoSpacing"/>
                    <w:jc w:val="right"/>
                    <w:rPr>
                      <w:i/>
                      <w:sz w:val="20"/>
                    </w:rPr>
                  </w:pPr>
                </w:p>
              </w:tc>
              <w:tc>
                <w:tcPr>
                  <w:tcW w:w="1295" w:type="dxa"/>
                </w:tcPr>
                <w:p w14:paraId="76E39984" w14:textId="77777777" w:rsidR="00A430C4" w:rsidRDefault="00A430C4" w:rsidP="00BD3B76">
                  <w:pPr>
                    <w:pStyle w:val="NoSpacing"/>
                    <w:jc w:val="right"/>
                    <w:rPr>
                      <w:i/>
                      <w:sz w:val="20"/>
                    </w:rPr>
                  </w:pPr>
                  <w:r>
                    <w:rPr>
                      <w:i/>
                      <w:sz w:val="20"/>
                    </w:rPr>
                    <w:t>Ineffective</w:t>
                  </w:r>
                </w:p>
              </w:tc>
              <w:tc>
                <w:tcPr>
                  <w:tcW w:w="425" w:type="dxa"/>
                  <w:shd w:val="clear" w:color="auto" w:fill="DBE5F1" w:themeFill="accent1" w:themeFillTint="33"/>
                </w:tcPr>
                <w:p w14:paraId="14856494" w14:textId="0D40248D" w:rsidR="00A430C4" w:rsidRDefault="00073420" w:rsidP="00BD3B76">
                  <w:pPr>
                    <w:pStyle w:val="NoSpacing"/>
                    <w:rPr>
                      <w:i/>
                      <w:sz w:val="20"/>
                    </w:rPr>
                  </w:pPr>
                  <w:r>
                    <w:rPr>
                      <w:i/>
                      <w:sz w:val="20"/>
                    </w:rPr>
                    <w:t>X</w:t>
                  </w:r>
                </w:p>
              </w:tc>
              <w:tc>
                <w:tcPr>
                  <w:tcW w:w="1276" w:type="dxa"/>
                  <w:shd w:val="clear" w:color="auto" w:fill="auto"/>
                </w:tcPr>
                <w:p w14:paraId="5C702C8C" w14:textId="77777777" w:rsidR="00A430C4" w:rsidRDefault="00A430C4" w:rsidP="00BD3B76">
                  <w:pPr>
                    <w:pStyle w:val="NoSpacing"/>
                    <w:rPr>
                      <w:i/>
                      <w:sz w:val="20"/>
                    </w:rPr>
                  </w:pPr>
                  <w:r>
                    <w:rPr>
                      <w:i/>
                      <w:sz w:val="20"/>
                    </w:rPr>
                    <w:t>Unknown</w:t>
                  </w:r>
                </w:p>
              </w:tc>
              <w:tc>
                <w:tcPr>
                  <w:tcW w:w="425" w:type="dxa"/>
                  <w:shd w:val="clear" w:color="auto" w:fill="DBE5F1" w:themeFill="accent1" w:themeFillTint="33"/>
                </w:tcPr>
                <w:p w14:paraId="5669EC32" w14:textId="77777777" w:rsidR="00A430C4" w:rsidRDefault="00A430C4" w:rsidP="00BD3B76">
                  <w:pPr>
                    <w:pStyle w:val="NoSpacing"/>
                    <w:rPr>
                      <w:i/>
                      <w:sz w:val="20"/>
                    </w:rPr>
                  </w:pPr>
                </w:p>
              </w:tc>
            </w:tr>
          </w:tbl>
          <w:p w14:paraId="197C5E4B" w14:textId="77777777" w:rsidR="00A430C4" w:rsidRDefault="00A430C4" w:rsidP="00BD3B76">
            <w:pPr>
              <w:pStyle w:val="NoSpacing"/>
              <w:rPr>
                <w:i/>
                <w:sz w:val="20"/>
              </w:rPr>
            </w:pPr>
          </w:p>
          <w:p w14:paraId="533A2183" w14:textId="77777777" w:rsidR="00A430C4" w:rsidRDefault="00A430C4" w:rsidP="00BD3B76">
            <w:pPr>
              <w:pStyle w:val="NoSpacing"/>
              <w:rPr>
                <w:sz w:val="20"/>
              </w:rPr>
            </w:pPr>
            <w:r w:rsidRPr="00C856F5">
              <w:rPr>
                <w:i/>
                <w:sz w:val="20"/>
              </w:rPr>
              <w:t>Rationale</w:t>
            </w:r>
            <w:r>
              <w:rPr>
                <w:sz w:val="20"/>
              </w:rPr>
              <w:t>:</w:t>
            </w:r>
          </w:p>
          <w:p w14:paraId="41C27653" w14:textId="3BA64090" w:rsidR="005A0032" w:rsidRDefault="00A16533" w:rsidP="003F63C8">
            <w:pPr>
              <w:pStyle w:val="NoSpacing"/>
            </w:pPr>
            <w:r w:rsidRPr="005A0032">
              <w:t xml:space="preserve">Unluckily, adults of the species </w:t>
            </w:r>
            <w:r w:rsidR="004B7BC3" w:rsidRPr="005A0032">
              <w:t xml:space="preserve">can disperse overland and climb barriers </w:t>
            </w:r>
            <w:r w:rsidR="0002197D" w:rsidRPr="005A0032">
              <w:t xml:space="preserve">or banks to overcome the obstacle </w:t>
            </w:r>
            <w:r w:rsidR="00E87F36" w:rsidRPr="005A0032">
              <w:t xml:space="preserve">(Chinese Mitten Crab Working Group, 2003). </w:t>
            </w:r>
            <w:r w:rsidR="006E2A82" w:rsidRPr="005A0032">
              <w:t>Chinese m</w:t>
            </w:r>
            <w:r w:rsidR="008250B5" w:rsidRPr="005A0032">
              <w:t>itten crabs are known to be one of the best climbers among crabs (McLaughlin, 1982). Juvenile crabs can climb short distances up vertical concrete walls (</w:t>
            </w:r>
            <w:proofErr w:type="spellStart"/>
            <w:r w:rsidR="008250B5" w:rsidRPr="005A0032">
              <w:t>Hymanson</w:t>
            </w:r>
            <w:proofErr w:type="spellEnd"/>
            <w:r w:rsidR="008250B5" w:rsidRPr="005A0032">
              <w:t xml:space="preserve"> et al.</w:t>
            </w:r>
            <w:r w:rsidR="00350C77">
              <w:t>,</w:t>
            </w:r>
            <w:r w:rsidR="008250B5" w:rsidRPr="005A0032">
              <w:t xml:space="preserve"> 1999), and have escaped from 6 m deep concrete holding tanks that were quarter</w:t>
            </w:r>
            <w:r w:rsidR="00594879" w:rsidRPr="005A0032">
              <w:t xml:space="preserve"> </w:t>
            </w:r>
            <w:r w:rsidR="008250B5" w:rsidRPr="005A0032">
              <w:t>filled or half-filled with water (</w:t>
            </w:r>
            <w:r w:rsidR="00594879" w:rsidRPr="005A0032">
              <w:t xml:space="preserve">reported in </w:t>
            </w:r>
            <w:r w:rsidR="00594879" w:rsidRPr="001534A9">
              <w:t xml:space="preserve">Cohen </w:t>
            </w:r>
            <w:r w:rsidR="001534A9" w:rsidRPr="001534A9">
              <w:t>&amp;</w:t>
            </w:r>
            <w:r w:rsidR="00594879" w:rsidRPr="001534A9">
              <w:t xml:space="preserve"> Weinstein, 2001</w:t>
            </w:r>
            <w:r w:rsidR="008250B5" w:rsidRPr="005A0032">
              <w:t>). Adults can live out of water in a dry</w:t>
            </w:r>
            <w:r w:rsidR="00594879" w:rsidRPr="005A0032">
              <w:t xml:space="preserve"> </w:t>
            </w:r>
            <w:r w:rsidR="008250B5" w:rsidRPr="005A0032">
              <w:t>environment for about a week</w:t>
            </w:r>
            <w:r w:rsidR="003F63C8">
              <w:t xml:space="preserve"> and</w:t>
            </w:r>
            <w:r w:rsidR="00594879" w:rsidRPr="005A0032">
              <w:t xml:space="preserve"> are capable of climbing over concrete structures at least 3-4 m high, although it is reported that in China 6 m high vertical and sloped barriers stop most crabs (Cohen </w:t>
            </w:r>
            <w:r w:rsidR="008D1CE0" w:rsidRPr="005A0032">
              <w:t>&amp;</w:t>
            </w:r>
            <w:r w:rsidR="00594879" w:rsidRPr="005A0032">
              <w:t xml:space="preserve"> Weinstein, 2001). Mitten crabs can also pass through lock systems and possibly climb fish ladders, or leave the water and walk around barriers where the terrain is suitable (Cohen </w:t>
            </w:r>
            <w:r w:rsidR="008D1CE0" w:rsidRPr="005A0032">
              <w:t>&amp;</w:t>
            </w:r>
            <w:r w:rsidR="00594879" w:rsidRPr="005A0032">
              <w:t xml:space="preserve"> Weinstein, 2001). </w:t>
            </w:r>
            <w:r w:rsidR="00E87F36" w:rsidRPr="005A0032">
              <w:t>During the 1930s and 1940s, Germany installed electrical screens on the river bottom that would stop or kill crabs using electrical pulses, but they were ineffective (</w:t>
            </w:r>
            <w:proofErr w:type="spellStart"/>
            <w:r w:rsidR="00073420" w:rsidRPr="005A0032">
              <w:t>McEnnulty</w:t>
            </w:r>
            <w:proofErr w:type="spellEnd"/>
            <w:r w:rsidR="00073420" w:rsidRPr="005A0032">
              <w:t xml:space="preserve"> et al., 2001)</w:t>
            </w:r>
            <w:r w:rsidR="00E87F36" w:rsidRPr="005A0032">
              <w:t>.</w:t>
            </w:r>
            <w:r w:rsidR="004F70F4" w:rsidRPr="005A0032">
              <w:t xml:space="preserve"> </w:t>
            </w:r>
            <w:r w:rsidR="001E4CD3" w:rsidRPr="005A0032">
              <w:t xml:space="preserve">Barriers </w:t>
            </w:r>
            <w:r w:rsidR="006036D9" w:rsidRPr="005A0032">
              <w:t>cannot</w:t>
            </w:r>
            <w:r w:rsidR="001E4CD3" w:rsidRPr="005A0032">
              <w:t xml:space="preserve"> be effective in large waterbodies with a high degree of interconnectedness (Eberhardt et al., 2016). </w:t>
            </w:r>
            <w:r w:rsidR="004F70F4" w:rsidRPr="005A0032">
              <w:t>Barriers could slow down</w:t>
            </w:r>
            <w:r w:rsidR="003F63C8">
              <w:t>,</w:t>
            </w:r>
            <w:r w:rsidR="004F70F4" w:rsidRPr="005A0032">
              <w:t xml:space="preserve"> but not stop the arrival of the species. </w:t>
            </w:r>
            <w:r w:rsidR="00073420" w:rsidRPr="005A0032">
              <w:t>Installation of travelling screen and trash racks has been applied in Germany</w:t>
            </w:r>
            <w:r w:rsidR="003F63C8">
              <w:t>,</w:t>
            </w:r>
            <w:r w:rsidR="00073420" w:rsidRPr="005A0032">
              <w:t xml:space="preserve"> with the aim </w:t>
            </w:r>
            <w:r w:rsidR="003F63C8">
              <w:t>of</w:t>
            </w:r>
            <w:r w:rsidR="00073420" w:rsidRPr="005A0032">
              <w:t xml:space="preserve"> heavily reducing the </w:t>
            </w:r>
            <w:r w:rsidR="00395A81" w:rsidRPr="005A0032">
              <w:t xml:space="preserve">Chinese </w:t>
            </w:r>
            <w:r w:rsidR="00073420" w:rsidRPr="005A0032">
              <w:t xml:space="preserve">mitten crab population during migration events: the method showed to be most effective if done at locations where a river or stream is contained by a regulatory structure (e.g., </w:t>
            </w:r>
            <w:r w:rsidR="00073420" w:rsidRPr="005A0032">
              <w:lastRenderedPageBreak/>
              <w:t xml:space="preserve">dam, fish facility) (Peters </w:t>
            </w:r>
            <w:r w:rsidR="008D1CE0" w:rsidRPr="005A0032">
              <w:t>&amp;</w:t>
            </w:r>
            <w:r w:rsidR="00073420" w:rsidRPr="005A0032">
              <w:t xml:space="preserve"> Panning, 1933).</w:t>
            </w:r>
            <w:r w:rsidR="00186C45" w:rsidRPr="005A0032">
              <w:rPr>
                <w:sz w:val="24"/>
              </w:rPr>
              <w:t xml:space="preserve"> </w:t>
            </w:r>
            <w:r w:rsidR="00186C45" w:rsidRPr="005A0032">
              <w:t>Rotating “Grizzly” screens to allow water, but not crabs, to pass were 80% effective at removing crabs from the Tracy Fish Collection Facility</w:t>
            </w:r>
            <w:r w:rsidR="003F63C8">
              <w:t>,</w:t>
            </w:r>
            <w:r w:rsidR="00186C45" w:rsidRPr="005A0032">
              <w:t xml:space="preserve"> Calif</w:t>
            </w:r>
            <w:r w:rsidR="003F63C8">
              <w:t>ornia</w:t>
            </w:r>
            <w:r w:rsidR="00186C45" w:rsidRPr="005A0032">
              <w:t xml:space="preserve"> (Eberhardt et al., 2016).</w:t>
            </w:r>
          </w:p>
          <w:p w14:paraId="78247641" w14:textId="6EFB824B" w:rsidR="0031214E" w:rsidRPr="00543646" w:rsidRDefault="0031214E" w:rsidP="003F63C8">
            <w:pPr>
              <w:pStyle w:val="NoSpacing"/>
            </w:pPr>
          </w:p>
        </w:tc>
      </w:tr>
      <w:tr w:rsidR="00A430C4" w14:paraId="780AF6C1" w14:textId="77777777" w:rsidTr="00BD3B76">
        <w:tc>
          <w:tcPr>
            <w:tcW w:w="3295" w:type="dxa"/>
            <w:shd w:val="clear" w:color="auto" w:fill="DBE5F1" w:themeFill="accent1" w:themeFillTint="33"/>
          </w:tcPr>
          <w:p w14:paraId="1978527D" w14:textId="77777777" w:rsidR="00A430C4" w:rsidRPr="0039672E" w:rsidRDefault="00A430C4" w:rsidP="00BD3B76">
            <w:pPr>
              <w:pStyle w:val="NoSpacing"/>
              <w:rPr>
                <w:b/>
              </w:rPr>
            </w:pPr>
            <w:r w:rsidRPr="0039672E">
              <w:rPr>
                <w:b/>
              </w:rPr>
              <w:lastRenderedPageBreak/>
              <w:t>Effort required</w:t>
            </w:r>
          </w:p>
          <w:p w14:paraId="38014FBD" w14:textId="77777777" w:rsidR="00A430C4" w:rsidRPr="002B6463" w:rsidRDefault="00A430C4" w:rsidP="00BD3B76">
            <w:pPr>
              <w:pStyle w:val="NoSpacing"/>
              <w:rPr>
                <w:sz w:val="20"/>
              </w:rPr>
            </w:pPr>
            <w:r w:rsidRPr="00EA6987">
              <w:rPr>
                <w:sz w:val="20"/>
              </w:rPr>
              <w:t>e.g. period of time over which measure need</w:t>
            </w:r>
            <w:r>
              <w:rPr>
                <w:sz w:val="20"/>
              </w:rPr>
              <w:t>s</w:t>
            </w:r>
            <w:r w:rsidRPr="00EA6987">
              <w:rPr>
                <w:sz w:val="20"/>
              </w:rPr>
              <w:t xml:space="preserve"> to be applied to have results</w:t>
            </w:r>
          </w:p>
        </w:tc>
        <w:tc>
          <w:tcPr>
            <w:tcW w:w="10653" w:type="dxa"/>
          </w:tcPr>
          <w:p w14:paraId="255CE6B2" w14:textId="04059A87" w:rsidR="00A430C4" w:rsidRPr="005A0032" w:rsidRDefault="003F63C8" w:rsidP="00B56E27">
            <w:pPr>
              <w:pStyle w:val="NoSpacing"/>
            </w:pPr>
            <w:r>
              <w:t>The measure should be applied in the l</w:t>
            </w:r>
            <w:r w:rsidR="004E7443" w:rsidRPr="005A0032">
              <w:t>ong term</w:t>
            </w:r>
            <w:r>
              <w:t>, in order</w:t>
            </w:r>
            <w:r w:rsidR="004E7443" w:rsidRPr="005A0032">
              <w:t xml:space="preserve"> </w:t>
            </w:r>
            <w:r w:rsidR="00F621E4" w:rsidRPr="005A0032">
              <w:t xml:space="preserve">to </w:t>
            </w:r>
            <w:r w:rsidR="00B56E27">
              <w:t>limit the spread of the species</w:t>
            </w:r>
            <w:r w:rsidR="00AB7D04">
              <w:t xml:space="preserve"> and avoid </w:t>
            </w:r>
            <w:r w:rsidR="00DD2CD9">
              <w:t>its arrival in new countries</w:t>
            </w:r>
            <w:r w:rsidR="00193BD4">
              <w:t>.</w:t>
            </w:r>
          </w:p>
        </w:tc>
      </w:tr>
      <w:tr w:rsidR="00A430C4" w14:paraId="26185F6A" w14:textId="77777777" w:rsidTr="00BD3B76">
        <w:tc>
          <w:tcPr>
            <w:tcW w:w="3295" w:type="dxa"/>
            <w:shd w:val="clear" w:color="auto" w:fill="DBE5F1" w:themeFill="accent1" w:themeFillTint="33"/>
          </w:tcPr>
          <w:p w14:paraId="57A93DE0" w14:textId="77777777" w:rsidR="00A430C4" w:rsidRPr="0039672E" w:rsidRDefault="00A430C4" w:rsidP="00BD3B76">
            <w:pPr>
              <w:pStyle w:val="NoSpacing"/>
              <w:rPr>
                <w:b/>
                <w:sz w:val="24"/>
                <w:vertAlign w:val="superscript"/>
              </w:rPr>
            </w:pPr>
            <w:r w:rsidRPr="0039672E">
              <w:rPr>
                <w:b/>
              </w:rPr>
              <w:t>Resources required</w:t>
            </w:r>
            <w:r>
              <w:rPr>
                <w:b/>
              </w:rPr>
              <w:t xml:space="preserve"> </w:t>
            </w:r>
            <w:r>
              <w:rPr>
                <w:b/>
                <w:vertAlign w:val="superscript"/>
              </w:rPr>
              <w:t>1</w:t>
            </w:r>
          </w:p>
          <w:p w14:paraId="12B7ACA5" w14:textId="77777777" w:rsidR="00A430C4" w:rsidRPr="002B6463" w:rsidRDefault="00A430C4" w:rsidP="00BD3B76">
            <w:pPr>
              <w:pStyle w:val="NoSpacing"/>
              <w:rPr>
                <w:sz w:val="20"/>
              </w:rPr>
            </w:pPr>
            <w:r>
              <w:rPr>
                <w:sz w:val="20"/>
              </w:rPr>
              <w:t>e.g. cost, staff, equipment etc.</w:t>
            </w:r>
          </w:p>
        </w:tc>
        <w:tc>
          <w:tcPr>
            <w:tcW w:w="10653" w:type="dxa"/>
          </w:tcPr>
          <w:p w14:paraId="1B42E2E1" w14:textId="304D0923" w:rsidR="00A430C4" w:rsidRDefault="0040532B" w:rsidP="00BD3B76">
            <w:pPr>
              <w:pStyle w:val="NoSpacing"/>
            </w:pPr>
            <w:r w:rsidRPr="005A0032">
              <w:t xml:space="preserve">The cost of </w:t>
            </w:r>
            <w:r w:rsidR="0079634A" w:rsidRPr="005A0032">
              <w:t>infrastructure</w:t>
            </w:r>
            <w:r w:rsidR="00DE601E" w:rsidRPr="005A0032">
              <w:t xml:space="preserve"> (</w:t>
            </w:r>
            <w:r w:rsidR="001B3CC7">
              <w:t>which</w:t>
            </w:r>
            <w:r w:rsidR="001B3CC7" w:rsidRPr="005A0032">
              <w:t xml:space="preserve"> </w:t>
            </w:r>
            <w:r w:rsidR="00957DF5" w:rsidRPr="005A0032">
              <w:t xml:space="preserve">is variable depending on </w:t>
            </w:r>
            <w:r w:rsidR="00961B41" w:rsidRPr="005A0032">
              <w:t xml:space="preserve">the type of barrier; </w:t>
            </w:r>
            <w:r w:rsidR="00DE601E" w:rsidRPr="005A0032">
              <w:t>e.g. two physical barriers to s</w:t>
            </w:r>
            <w:r w:rsidR="00957DF5" w:rsidRPr="005A0032">
              <w:t xml:space="preserve">top signal crayfish in </w:t>
            </w:r>
            <w:r w:rsidR="001B3CC7">
              <w:t xml:space="preserve">the </w:t>
            </w:r>
            <w:r w:rsidR="00957DF5" w:rsidRPr="005A0032">
              <w:t>UK cost</w:t>
            </w:r>
            <w:r w:rsidR="00961B41" w:rsidRPr="005A0032">
              <w:t xml:space="preserve"> £</w:t>
            </w:r>
            <w:r w:rsidR="008D1CE0" w:rsidRPr="005A0032">
              <w:t xml:space="preserve"> </w:t>
            </w:r>
            <w:r w:rsidR="00961B41" w:rsidRPr="005A0032">
              <w:t>50,000</w:t>
            </w:r>
            <w:r w:rsidR="001B3CC7">
              <w:rPr>
                <w:rStyle w:val="FootnoteReference"/>
              </w:rPr>
              <w:footnoteReference w:id="16"/>
            </w:r>
            <w:r w:rsidR="00961B41" w:rsidRPr="005A0032">
              <w:t>)</w:t>
            </w:r>
            <w:r w:rsidRPr="005A0032">
              <w:t xml:space="preserve"> of setting </w:t>
            </w:r>
            <w:r w:rsidR="008733D4" w:rsidRPr="005A0032">
              <w:t xml:space="preserve">and </w:t>
            </w:r>
            <w:r w:rsidR="001B06C9" w:rsidRPr="005A0032">
              <w:t>maintenance</w:t>
            </w:r>
            <w:r w:rsidR="008733D4" w:rsidRPr="005A0032">
              <w:t xml:space="preserve"> </w:t>
            </w:r>
            <w:r w:rsidR="001B3CC7">
              <w:t xml:space="preserve">of the barriers </w:t>
            </w:r>
            <w:r w:rsidR="008733D4" w:rsidRPr="005A0032">
              <w:t>should be considered</w:t>
            </w:r>
            <w:r w:rsidR="001B3CC7">
              <w:t>,</w:t>
            </w:r>
            <w:r w:rsidR="008733D4" w:rsidRPr="005A0032">
              <w:t xml:space="preserve"> together with </w:t>
            </w:r>
            <w:r w:rsidR="001B3CC7">
              <w:t xml:space="preserve">that of </w:t>
            </w:r>
            <w:r w:rsidR="008733D4" w:rsidRPr="005A0032">
              <w:t xml:space="preserve">personnel to maintain and </w:t>
            </w:r>
            <w:r w:rsidR="004E74F6" w:rsidRPr="005A0032">
              <w:t xml:space="preserve">frequently </w:t>
            </w:r>
            <w:r w:rsidR="008733D4" w:rsidRPr="005A0032">
              <w:t xml:space="preserve">check </w:t>
            </w:r>
            <w:r w:rsidR="004E74F6" w:rsidRPr="005A0032">
              <w:t>the barrier</w:t>
            </w:r>
            <w:r w:rsidR="001B3CC7">
              <w:t>s</w:t>
            </w:r>
            <w:r w:rsidR="008733D4" w:rsidRPr="005A0032">
              <w:t xml:space="preserve"> for animals to be removed. </w:t>
            </w:r>
            <w:r w:rsidR="009A3863" w:rsidRPr="005A0032">
              <w:t>Cost</w:t>
            </w:r>
            <w:r w:rsidR="001B3CC7">
              <w:t>s</w:t>
            </w:r>
            <w:r w:rsidR="009A3863" w:rsidRPr="005A0032">
              <w:t xml:space="preserve"> of disposal of caught animals should also </w:t>
            </w:r>
            <w:r w:rsidR="001B3CC7" w:rsidRPr="005A0032">
              <w:t xml:space="preserve">be </w:t>
            </w:r>
            <w:r w:rsidR="009A3863" w:rsidRPr="005A0032">
              <w:t>considered.</w:t>
            </w:r>
            <w:r w:rsidR="00DE601E" w:rsidRPr="005A0032">
              <w:t xml:space="preserve"> </w:t>
            </w:r>
          </w:p>
          <w:p w14:paraId="2B66E97E" w14:textId="3212EE0B" w:rsidR="005A0032" w:rsidRPr="005A0032" w:rsidRDefault="005A0032" w:rsidP="00BD3B76">
            <w:pPr>
              <w:pStyle w:val="NoSpacing"/>
            </w:pPr>
          </w:p>
        </w:tc>
      </w:tr>
      <w:tr w:rsidR="00A430C4" w:rsidRPr="002B6463" w14:paraId="39E9A868" w14:textId="77777777" w:rsidTr="00BD3B76">
        <w:tc>
          <w:tcPr>
            <w:tcW w:w="3295" w:type="dxa"/>
            <w:shd w:val="clear" w:color="auto" w:fill="DBE5F1" w:themeFill="accent1" w:themeFillTint="33"/>
          </w:tcPr>
          <w:p w14:paraId="10113AC8" w14:textId="77777777" w:rsidR="00A430C4" w:rsidRPr="0039672E" w:rsidRDefault="00A430C4" w:rsidP="00BD3B76">
            <w:pPr>
              <w:pStyle w:val="NoSpacing"/>
              <w:rPr>
                <w:b/>
              </w:rPr>
            </w:pPr>
            <w:r w:rsidRPr="0039672E">
              <w:rPr>
                <w:b/>
              </w:rPr>
              <w:t>Side effects (incl. potential)</w:t>
            </w:r>
            <w:r>
              <w:rPr>
                <w:b/>
              </w:rPr>
              <w:t xml:space="preserve"> – both positive and negative</w:t>
            </w:r>
          </w:p>
          <w:p w14:paraId="0008B2E6" w14:textId="77777777" w:rsidR="00A430C4" w:rsidRDefault="00A430C4" w:rsidP="00BD3B76">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68C3C36C" w14:textId="77777777" w:rsidR="00A430C4" w:rsidRDefault="00A430C4" w:rsidP="00BD3B76">
            <w:pPr>
              <w:pStyle w:val="NoSpacing"/>
              <w:rPr>
                <w:b/>
              </w:rPr>
            </w:pPr>
          </w:p>
          <w:p w14:paraId="392CE3F9" w14:textId="77777777" w:rsidR="00A430C4" w:rsidRPr="0039672E" w:rsidRDefault="00A430C4" w:rsidP="00BD3B76">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A430C4" w14:paraId="43F255DE" w14:textId="77777777" w:rsidTr="00BD3B76">
              <w:tc>
                <w:tcPr>
                  <w:tcW w:w="2116" w:type="dxa"/>
                </w:tcPr>
                <w:p w14:paraId="0A32917D" w14:textId="77777777" w:rsidR="00A430C4" w:rsidRPr="002E17F6" w:rsidRDefault="00A430C4" w:rsidP="00BD3B76">
                  <w:pPr>
                    <w:pStyle w:val="NoSpacing"/>
                    <w:rPr>
                      <w:b/>
                      <w:i/>
                      <w:sz w:val="20"/>
                    </w:rPr>
                  </w:pPr>
                  <w:r w:rsidRPr="002E17F6">
                    <w:rPr>
                      <w:b/>
                      <w:i/>
                      <w:sz w:val="20"/>
                    </w:rPr>
                    <w:t>Environmental</w:t>
                  </w:r>
                  <w:r>
                    <w:rPr>
                      <w:b/>
                      <w:i/>
                      <w:sz w:val="20"/>
                    </w:rPr>
                    <w:t xml:space="preserve"> effects</w:t>
                  </w:r>
                </w:p>
              </w:tc>
              <w:tc>
                <w:tcPr>
                  <w:tcW w:w="1701" w:type="dxa"/>
                </w:tcPr>
                <w:p w14:paraId="51042D91" w14:textId="77777777" w:rsidR="00A430C4" w:rsidRDefault="00A430C4" w:rsidP="00BD3B76">
                  <w:pPr>
                    <w:pStyle w:val="NoSpacing"/>
                    <w:jc w:val="right"/>
                    <w:rPr>
                      <w:i/>
                      <w:sz w:val="20"/>
                    </w:rPr>
                  </w:pPr>
                  <w:r>
                    <w:rPr>
                      <w:i/>
                      <w:sz w:val="20"/>
                    </w:rPr>
                    <w:t>Positive</w:t>
                  </w:r>
                </w:p>
              </w:tc>
              <w:tc>
                <w:tcPr>
                  <w:tcW w:w="425" w:type="dxa"/>
                  <w:shd w:val="clear" w:color="auto" w:fill="DBE5F1" w:themeFill="accent1" w:themeFillTint="33"/>
                </w:tcPr>
                <w:p w14:paraId="2855069E" w14:textId="77777777" w:rsidR="00A430C4" w:rsidRDefault="00A430C4" w:rsidP="00BD3B76">
                  <w:pPr>
                    <w:pStyle w:val="NoSpacing"/>
                    <w:jc w:val="right"/>
                    <w:rPr>
                      <w:i/>
                      <w:sz w:val="20"/>
                    </w:rPr>
                  </w:pPr>
                </w:p>
              </w:tc>
              <w:tc>
                <w:tcPr>
                  <w:tcW w:w="2268" w:type="dxa"/>
                </w:tcPr>
                <w:p w14:paraId="60EBA74D" w14:textId="77777777" w:rsidR="00A430C4" w:rsidRDefault="00A430C4" w:rsidP="00BD3B76">
                  <w:pPr>
                    <w:pStyle w:val="NoSpacing"/>
                    <w:jc w:val="right"/>
                    <w:rPr>
                      <w:i/>
                      <w:sz w:val="20"/>
                    </w:rPr>
                  </w:pPr>
                  <w:r>
                    <w:rPr>
                      <w:i/>
                      <w:sz w:val="20"/>
                    </w:rPr>
                    <w:t>Neutral or mixed</w:t>
                  </w:r>
                </w:p>
              </w:tc>
              <w:tc>
                <w:tcPr>
                  <w:tcW w:w="425" w:type="dxa"/>
                  <w:shd w:val="clear" w:color="auto" w:fill="DBE5F1" w:themeFill="accent1" w:themeFillTint="33"/>
                </w:tcPr>
                <w:p w14:paraId="4B7E0EE3" w14:textId="3BE4AC02" w:rsidR="00A430C4" w:rsidRDefault="001E5359" w:rsidP="00BD3B76">
                  <w:pPr>
                    <w:pStyle w:val="NoSpacing"/>
                    <w:jc w:val="right"/>
                    <w:rPr>
                      <w:i/>
                      <w:sz w:val="20"/>
                    </w:rPr>
                  </w:pPr>
                  <w:r>
                    <w:rPr>
                      <w:i/>
                      <w:sz w:val="20"/>
                    </w:rPr>
                    <w:t>X</w:t>
                  </w:r>
                </w:p>
              </w:tc>
              <w:tc>
                <w:tcPr>
                  <w:tcW w:w="2002" w:type="dxa"/>
                </w:tcPr>
                <w:p w14:paraId="3E0DF31B" w14:textId="77777777" w:rsidR="00A430C4" w:rsidRDefault="00A430C4" w:rsidP="00BD3B76">
                  <w:pPr>
                    <w:pStyle w:val="NoSpacing"/>
                    <w:jc w:val="right"/>
                    <w:rPr>
                      <w:i/>
                      <w:sz w:val="20"/>
                    </w:rPr>
                  </w:pPr>
                  <w:r>
                    <w:rPr>
                      <w:i/>
                      <w:sz w:val="20"/>
                    </w:rPr>
                    <w:t>Negative</w:t>
                  </w:r>
                </w:p>
              </w:tc>
              <w:tc>
                <w:tcPr>
                  <w:tcW w:w="408" w:type="dxa"/>
                  <w:shd w:val="clear" w:color="auto" w:fill="DBE5F1" w:themeFill="accent1" w:themeFillTint="33"/>
                </w:tcPr>
                <w:p w14:paraId="38342814" w14:textId="622BAC1B" w:rsidR="00A430C4" w:rsidRDefault="00A430C4" w:rsidP="00BD3B76">
                  <w:pPr>
                    <w:pStyle w:val="NoSpacing"/>
                    <w:rPr>
                      <w:i/>
                      <w:sz w:val="20"/>
                    </w:rPr>
                  </w:pPr>
                </w:p>
              </w:tc>
            </w:tr>
            <w:tr w:rsidR="00A430C4" w14:paraId="562B7B66" w14:textId="77777777" w:rsidTr="00BD3B76">
              <w:tc>
                <w:tcPr>
                  <w:tcW w:w="2116" w:type="dxa"/>
                </w:tcPr>
                <w:p w14:paraId="42D4EDE1" w14:textId="77777777" w:rsidR="00A430C4" w:rsidRPr="002E17F6" w:rsidRDefault="00A430C4" w:rsidP="00BD3B76">
                  <w:pPr>
                    <w:pStyle w:val="NoSpacing"/>
                    <w:rPr>
                      <w:b/>
                      <w:i/>
                      <w:sz w:val="20"/>
                    </w:rPr>
                  </w:pPr>
                  <w:r w:rsidRPr="002E17F6">
                    <w:rPr>
                      <w:b/>
                      <w:i/>
                      <w:sz w:val="20"/>
                    </w:rPr>
                    <w:t>Social</w:t>
                  </w:r>
                  <w:r>
                    <w:rPr>
                      <w:b/>
                      <w:i/>
                      <w:sz w:val="20"/>
                    </w:rPr>
                    <w:t xml:space="preserve"> effects</w:t>
                  </w:r>
                </w:p>
              </w:tc>
              <w:tc>
                <w:tcPr>
                  <w:tcW w:w="1701" w:type="dxa"/>
                </w:tcPr>
                <w:p w14:paraId="7DB6AE78" w14:textId="77777777" w:rsidR="00A430C4" w:rsidRDefault="00A430C4" w:rsidP="00BD3B76">
                  <w:pPr>
                    <w:pStyle w:val="NoSpacing"/>
                    <w:jc w:val="right"/>
                    <w:rPr>
                      <w:i/>
                      <w:sz w:val="20"/>
                    </w:rPr>
                  </w:pPr>
                  <w:r>
                    <w:rPr>
                      <w:i/>
                      <w:sz w:val="20"/>
                    </w:rPr>
                    <w:t>Positive</w:t>
                  </w:r>
                </w:p>
              </w:tc>
              <w:tc>
                <w:tcPr>
                  <w:tcW w:w="425" w:type="dxa"/>
                  <w:shd w:val="clear" w:color="auto" w:fill="DBE5F1" w:themeFill="accent1" w:themeFillTint="33"/>
                </w:tcPr>
                <w:p w14:paraId="64503AB6" w14:textId="77777777" w:rsidR="00A430C4" w:rsidRDefault="00A430C4" w:rsidP="00BD3B76">
                  <w:pPr>
                    <w:pStyle w:val="NoSpacing"/>
                    <w:jc w:val="right"/>
                    <w:rPr>
                      <w:i/>
                      <w:sz w:val="20"/>
                    </w:rPr>
                  </w:pPr>
                </w:p>
              </w:tc>
              <w:tc>
                <w:tcPr>
                  <w:tcW w:w="2268" w:type="dxa"/>
                </w:tcPr>
                <w:p w14:paraId="74E9418A" w14:textId="77777777" w:rsidR="00A430C4" w:rsidRDefault="00A430C4" w:rsidP="00BD3B76">
                  <w:pPr>
                    <w:pStyle w:val="NoSpacing"/>
                    <w:jc w:val="right"/>
                    <w:rPr>
                      <w:i/>
                      <w:sz w:val="20"/>
                    </w:rPr>
                  </w:pPr>
                  <w:r>
                    <w:rPr>
                      <w:i/>
                      <w:sz w:val="20"/>
                    </w:rPr>
                    <w:t>Neutral or mixed</w:t>
                  </w:r>
                </w:p>
              </w:tc>
              <w:tc>
                <w:tcPr>
                  <w:tcW w:w="425" w:type="dxa"/>
                  <w:shd w:val="clear" w:color="auto" w:fill="DBE5F1" w:themeFill="accent1" w:themeFillTint="33"/>
                </w:tcPr>
                <w:p w14:paraId="33843AC7" w14:textId="40768025" w:rsidR="00A430C4" w:rsidRDefault="00A430C4" w:rsidP="00BD3B76">
                  <w:pPr>
                    <w:pStyle w:val="NoSpacing"/>
                    <w:jc w:val="right"/>
                    <w:rPr>
                      <w:i/>
                      <w:sz w:val="20"/>
                    </w:rPr>
                  </w:pPr>
                </w:p>
              </w:tc>
              <w:tc>
                <w:tcPr>
                  <w:tcW w:w="2002" w:type="dxa"/>
                </w:tcPr>
                <w:p w14:paraId="72CFB0A4" w14:textId="77777777" w:rsidR="00A430C4" w:rsidRDefault="00A430C4" w:rsidP="00BD3B76">
                  <w:pPr>
                    <w:pStyle w:val="NoSpacing"/>
                    <w:jc w:val="right"/>
                    <w:rPr>
                      <w:i/>
                      <w:sz w:val="20"/>
                    </w:rPr>
                  </w:pPr>
                  <w:r>
                    <w:rPr>
                      <w:i/>
                      <w:sz w:val="20"/>
                    </w:rPr>
                    <w:t>Negative</w:t>
                  </w:r>
                </w:p>
              </w:tc>
              <w:tc>
                <w:tcPr>
                  <w:tcW w:w="408" w:type="dxa"/>
                  <w:shd w:val="clear" w:color="auto" w:fill="DBE5F1" w:themeFill="accent1" w:themeFillTint="33"/>
                </w:tcPr>
                <w:p w14:paraId="24B8874E" w14:textId="748FC4BA" w:rsidR="00A430C4" w:rsidRDefault="00996613" w:rsidP="00BD3B76">
                  <w:pPr>
                    <w:pStyle w:val="NoSpacing"/>
                    <w:rPr>
                      <w:i/>
                      <w:sz w:val="20"/>
                    </w:rPr>
                  </w:pPr>
                  <w:r>
                    <w:rPr>
                      <w:i/>
                      <w:sz w:val="20"/>
                    </w:rPr>
                    <w:t>X</w:t>
                  </w:r>
                </w:p>
              </w:tc>
            </w:tr>
            <w:tr w:rsidR="00A430C4" w14:paraId="7821C345" w14:textId="77777777" w:rsidTr="00BD3B76">
              <w:tc>
                <w:tcPr>
                  <w:tcW w:w="2116" w:type="dxa"/>
                </w:tcPr>
                <w:p w14:paraId="5D29DD82" w14:textId="77777777" w:rsidR="00A430C4" w:rsidRPr="002E17F6" w:rsidRDefault="00A430C4" w:rsidP="00BD3B76">
                  <w:pPr>
                    <w:pStyle w:val="NoSpacing"/>
                    <w:rPr>
                      <w:b/>
                      <w:i/>
                      <w:sz w:val="20"/>
                    </w:rPr>
                  </w:pPr>
                  <w:r w:rsidRPr="002E17F6">
                    <w:rPr>
                      <w:b/>
                      <w:i/>
                      <w:sz w:val="20"/>
                    </w:rPr>
                    <w:t>Economic</w:t>
                  </w:r>
                  <w:r>
                    <w:rPr>
                      <w:b/>
                      <w:i/>
                      <w:sz w:val="20"/>
                    </w:rPr>
                    <w:t xml:space="preserve"> effects</w:t>
                  </w:r>
                </w:p>
              </w:tc>
              <w:tc>
                <w:tcPr>
                  <w:tcW w:w="1701" w:type="dxa"/>
                </w:tcPr>
                <w:p w14:paraId="2A239BD2" w14:textId="77777777" w:rsidR="00A430C4" w:rsidRDefault="00A430C4" w:rsidP="00BD3B76">
                  <w:pPr>
                    <w:pStyle w:val="NoSpacing"/>
                    <w:jc w:val="right"/>
                    <w:rPr>
                      <w:i/>
                      <w:sz w:val="20"/>
                    </w:rPr>
                  </w:pPr>
                  <w:r>
                    <w:rPr>
                      <w:i/>
                      <w:sz w:val="20"/>
                    </w:rPr>
                    <w:t>Positive</w:t>
                  </w:r>
                </w:p>
              </w:tc>
              <w:tc>
                <w:tcPr>
                  <w:tcW w:w="425" w:type="dxa"/>
                  <w:shd w:val="clear" w:color="auto" w:fill="DBE5F1" w:themeFill="accent1" w:themeFillTint="33"/>
                </w:tcPr>
                <w:p w14:paraId="331D87BA" w14:textId="77777777" w:rsidR="00A430C4" w:rsidRDefault="00A430C4" w:rsidP="00BD3B76">
                  <w:pPr>
                    <w:pStyle w:val="NoSpacing"/>
                    <w:jc w:val="right"/>
                    <w:rPr>
                      <w:i/>
                      <w:sz w:val="20"/>
                    </w:rPr>
                  </w:pPr>
                </w:p>
              </w:tc>
              <w:tc>
                <w:tcPr>
                  <w:tcW w:w="2268" w:type="dxa"/>
                </w:tcPr>
                <w:p w14:paraId="0EECCC81" w14:textId="77777777" w:rsidR="00A430C4" w:rsidRDefault="00A430C4" w:rsidP="00BD3B76">
                  <w:pPr>
                    <w:pStyle w:val="NoSpacing"/>
                    <w:jc w:val="right"/>
                    <w:rPr>
                      <w:i/>
                      <w:sz w:val="20"/>
                    </w:rPr>
                  </w:pPr>
                  <w:r>
                    <w:rPr>
                      <w:i/>
                      <w:sz w:val="20"/>
                    </w:rPr>
                    <w:t>Neutral or mixed</w:t>
                  </w:r>
                </w:p>
              </w:tc>
              <w:tc>
                <w:tcPr>
                  <w:tcW w:w="425" w:type="dxa"/>
                  <w:shd w:val="clear" w:color="auto" w:fill="DBE5F1" w:themeFill="accent1" w:themeFillTint="33"/>
                </w:tcPr>
                <w:p w14:paraId="2D6E33DA" w14:textId="77777777" w:rsidR="00A430C4" w:rsidRDefault="00A430C4" w:rsidP="00BD3B76">
                  <w:pPr>
                    <w:pStyle w:val="NoSpacing"/>
                    <w:jc w:val="right"/>
                    <w:rPr>
                      <w:i/>
                      <w:sz w:val="20"/>
                    </w:rPr>
                  </w:pPr>
                </w:p>
              </w:tc>
              <w:tc>
                <w:tcPr>
                  <w:tcW w:w="2002" w:type="dxa"/>
                </w:tcPr>
                <w:p w14:paraId="77C7F481" w14:textId="77777777" w:rsidR="00A430C4" w:rsidRDefault="00A430C4" w:rsidP="00BD3B76">
                  <w:pPr>
                    <w:pStyle w:val="NoSpacing"/>
                    <w:jc w:val="right"/>
                    <w:rPr>
                      <w:i/>
                      <w:sz w:val="20"/>
                    </w:rPr>
                  </w:pPr>
                  <w:r>
                    <w:rPr>
                      <w:i/>
                      <w:sz w:val="20"/>
                    </w:rPr>
                    <w:t>Negative</w:t>
                  </w:r>
                </w:p>
              </w:tc>
              <w:tc>
                <w:tcPr>
                  <w:tcW w:w="408" w:type="dxa"/>
                  <w:shd w:val="clear" w:color="auto" w:fill="DBE5F1" w:themeFill="accent1" w:themeFillTint="33"/>
                </w:tcPr>
                <w:p w14:paraId="4CFBEF8D" w14:textId="7040E362" w:rsidR="00A430C4" w:rsidRDefault="00A16533" w:rsidP="00BD3B76">
                  <w:pPr>
                    <w:pStyle w:val="NoSpacing"/>
                    <w:rPr>
                      <w:i/>
                      <w:sz w:val="20"/>
                    </w:rPr>
                  </w:pPr>
                  <w:r>
                    <w:rPr>
                      <w:i/>
                      <w:sz w:val="20"/>
                    </w:rPr>
                    <w:t>X</w:t>
                  </w:r>
                </w:p>
              </w:tc>
            </w:tr>
          </w:tbl>
          <w:p w14:paraId="424D201C" w14:textId="77777777" w:rsidR="00A430C4" w:rsidRDefault="00A430C4" w:rsidP="00BD3B76">
            <w:pPr>
              <w:pStyle w:val="NoSpacing"/>
              <w:rPr>
                <w:i/>
                <w:sz w:val="20"/>
              </w:rPr>
            </w:pPr>
          </w:p>
          <w:p w14:paraId="23D59755" w14:textId="77777777" w:rsidR="00A430C4" w:rsidRDefault="00A430C4" w:rsidP="00BD3B76">
            <w:pPr>
              <w:pStyle w:val="NoSpacing"/>
              <w:rPr>
                <w:sz w:val="20"/>
              </w:rPr>
            </w:pPr>
            <w:r w:rsidRPr="00C856F5">
              <w:rPr>
                <w:i/>
                <w:sz w:val="20"/>
              </w:rPr>
              <w:t>Rationale</w:t>
            </w:r>
            <w:r>
              <w:rPr>
                <w:sz w:val="20"/>
              </w:rPr>
              <w:t>:</w:t>
            </w:r>
          </w:p>
          <w:p w14:paraId="36FACB40" w14:textId="7CC7D17F" w:rsidR="001E5359" w:rsidRDefault="008733D4" w:rsidP="008733D4">
            <w:pPr>
              <w:pStyle w:val="NoSpacing"/>
            </w:pPr>
            <w:r w:rsidRPr="005A0032">
              <w:t xml:space="preserve">The impacts to non-target species, including </w:t>
            </w:r>
            <w:r w:rsidR="007E78C3" w:rsidRPr="005A0032">
              <w:t xml:space="preserve">migratory </w:t>
            </w:r>
            <w:r w:rsidRPr="005A0032">
              <w:t>specie</w:t>
            </w:r>
            <w:r w:rsidR="004B0820" w:rsidRPr="005A0032">
              <w:t>s,</w:t>
            </w:r>
            <w:r w:rsidRPr="005A0032">
              <w:t xml:space="preserve"> could be significant, as the movement of other aquatic species would be affected by the barriers. </w:t>
            </w:r>
            <w:r w:rsidR="001E5359">
              <w:t>However, a</w:t>
            </w:r>
            <w:r w:rsidR="001E5359" w:rsidRPr="005A0032">
              <w:t xml:space="preserve">s </w:t>
            </w:r>
            <w:r w:rsidR="001E5359">
              <w:t xml:space="preserve">a </w:t>
            </w:r>
            <w:r w:rsidR="001E5359" w:rsidRPr="005A0032">
              <w:t xml:space="preserve">positive </w:t>
            </w:r>
            <w:r w:rsidR="001E5359">
              <w:t xml:space="preserve">environmental side </w:t>
            </w:r>
            <w:r w:rsidR="001E5359" w:rsidRPr="005A0032">
              <w:t>effect, other IAS could be stopped by the barriers (e.g. crayfish, fish).</w:t>
            </w:r>
          </w:p>
          <w:p w14:paraId="4C281BF0" w14:textId="16EC565F" w:rsidR="00A430C4" w:rsidRPr="005A0032" w:rsidRDefault="001E5359" w:rsidP="008733D4">
            <w:pPr>
              <w:pStyle w:val="NoSpacing"/>
            </w:pPr>
            <w:r>
              <w:t>T</w:t>
            </w:r>
            <w:r w:rsidR="008733D4" w:rsidRPr="005A0032">
              <w:t xml:space="preserve">here will be a cost for </w:t>
            </w:r>
            <w:r>
              <w:t xml:space="preserve">barrier </w:t>
            </w:r>
            <w:r w:rsidR="008733D4" w:rsidRPr="005A0032">
              <w:t>maintenance</w:t>
            </w:r>
            <w:r w:rsidR="00F621E4" w:rsidRPr="005A0032">
              <w:t xml:space="preserve"> and barriers can </w:t>
            </w:r>
            <w:r w:rsidRPr="005A0032">
              <w:t xml:space="preserve">also </w:t>
            </w:r>
            <w:r w:rsidR="00F621E4" w:rsidRPr="005A0032">
              <w:t>stop species of fishing interest.</w:t>
            </w:r>
          </w:p>
          <w:p w14:paraId="541B6474" w14:textId="1A12A29C" w:rsidR="0001242B" w:rsidRPr="002B6463" w:rsidRDefault="0001242B" w:rsidP="008733D4">
            <w:pPr>
              <w:pStyle w:val="NoSpacing"/>
              <w:rPr>
                <w:sz w:val="20"/>
              </w:rPr>
            </w:pPr>
          </w:p>
        </w:tc>
      </w:tr>
      <w:tr w:rsidR="00A430C4" w:rsidRPr="00C75EDD" w14:paraId="10C024B3" w14:textId="77777777" w:rsidTr="00BD3B76">
        <w:tc>
          <w:tcPr>
            <w:tcW w:w="3295" w:type="dxa"/>
            <w:shd w:val="clear" w:color="auto" w:fill="DBE5F1" w:themeFill="accent1" w:themeFillTint="33"/>
          </w:tcPr>
          <w:p w14:paraId="53EE77B2" w14:textId="77777777" w:rsidR="00A430C4" w:rsidRPr="0039672E" w:rsidRDefault="00A430C4" w:rsidP="00BD3B76">
            <w:pPr>
              <w:pStyle w:val="NoSpacing"/>
              <w:rPr>
                <w:b/>
              </w:rPr>
            </w:pPr>
            <w:r w:rsidRPr="0039672E">
              <w:rPr>
                <w:b/>
              </w:rPr>
              <w:t>Acceptability to stakeholders</w:t>
            </w:r>
          </w:p>
          <w:p w14:paraId="7E72C04D" w14:textId="77777777" w:rsidR="00A430C4" w:rsidRDefault="00A430C4" w:rsidP="00BD3B76">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1348459B" w14:textId="77777777" w:rsidR="00A430C4" w:rsidRDefault="00A430C4" w:rsidP="00BD3B76">
            <w:pPr>
              <w:pStyle w:val="NoSpacing"/>
              <w:rPr>
                <w:sz w:val="20"/>
              </w:rPr>
            </w:pPr>
          </w:p>
          <w:p w14:paraId="56A31A0F" w14:textId="77777777" w:rsidR="00A430C4" w:rsidRPr="002B6463" w:rsidRDefault="00A430C4" w:rsidP="00BD3B76">
            <w:pPr>
              <w:pStyle w:val="NoSpacing"/>
              <w:rPr>
                <w:sz w:val="20"/>
              </w:rPr>
            </w:pPr>
            <w:r>
              <w:rPr>
                <w:sz w:val="20"/>
              </w:rPr>
              <w:lastRenderedPageBreak/>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A430C4" w14:paraId="634BCF41" w14:textId="77777777" w:rsidTr="00BD3B76">
              <w:tc>
                <w:tcPr>
                  <w:tcW w:w="2116" w:type="dxa"/>
                </w:tcPr>
                <w:p w14:paraId="4A2B879E" w14:textId="77777777" w:rsidR="00A430C4" w:rsidRPr="002E17F6" w:rsidRDefault="00A430C4" w:rsidP="00BD3B76">
                  <w:pPr>
                    <w:pStyle w:val="NoSpacing"/>
                    <w:rPr>
                      <w:b/>
                      <w:i/>
                      <w:sz w:val="20"/>
                    </w:rPr>
                  </w:pPr>
                  <w:r w:rsidRPr="002E17F6">
                    <w:rPr>
                      <w:b/>
                      <w:i/>
                      <w:sz w:val="20"/>
                    </w:rPr>
                    <w:lastRenderedPageBreak/>
                    <w:t>Acceptability to stakeholders</w:t>
                  </w:r>
                </w:p>
              </w:tc>
              <w:tc>
                <w:tcPr>
                  <w:tcW w:w="1701" w:type="dxa"/>
                </w:tcPr>
                <w:p w14:paraId="02FE8DE5" w14:textId="77777777" w:rsidR="00A430C4" w:rsidRDefault="00A430C4" w:rsidP="00BD3B76">
                  <w:pPr>
                    <w:pStyle w:val="NoSpacing"/>
                    <w:jc w:val="right"/>
                    <w:rPr>
                      <w:i/>
                      <w:sz w:val="20"/>
                    </w:rPr>
                  </w:pPr>
                  <w:r>
                    <w:rPr>
                      <w:i/>
                      <w:sz w:val="20"/>
                    </w:rPr>
                    <w:t>Acceptable</w:t>
                  </w:r>
                </w:p>
              </w:tc>
              <w:tc>
                <w:tcPr>
                  <w:tcW w:w="425" w:type="dxa"/>
                  <w:shd w:val="clear" w:color="auto" w:fill="DBE5F1" w:themeFill="accent1" w:themeFillTint="33"/>
                </w:tcPr>
                <w:p w14:paraId="7A964754" w14:textId="77777777" w:rsidR="00A430C4" w:rsidRDefault="00A430C4" w:rsidP="00BD3B76">
                  <w:pPr>
                    <w:pStyle w:val="NoSpacing"/>
                    <w:jc w:val="right"/>
                    <w:rPr>
                      <w:i/>
                      <w:sz w:val="20"/>
                    </w:rPr>
                  </w:pPr>
                </w:p>
              </w:tc>
              <w:tc>
                <w:tcPr>
                  <w:tcW w:w="2268" w:type="dxa"/>
                </w:tcPr>
                <w:p w14:paraId="723B6A1C" w14:textId="77777777" w:rsidR="00A430C4" w:rsidRDefault="00A430C4" w:rsidP="00BD3B76">
                  <w:pPr>
                    <w:pStyle w:val="NoSpacing"/>
                    <w:jc w:val="right"/>
                    <w:rPr>
                      <w:i/>
                      <w:sz w:val="20"/>
                    </w:rPr>
                  </w:pPr>
                  <w:r>
                    <w:rPr>
                      <w:i/>
                      <w:sz w:val="20"/>
                    </w:rPr>
                    <w:t>Neutral or mixed</w:t>
                  </w:r>
                </w:p>
              </w:tc>
              <w:tc>
                <w:tcPr>
                  <w:tcW w:w="425" w:type="dxa"/>
                  <w:shd w:val="clear" w:color="auto" w:fill="DBE5F1" w:themeFill="accent1" w:themeFillTint="33"/>
                </w:tcPr>
                <w:p w14:paraId="6C62AA08" w14:textId="642C4E10" w:rsidR="00A430C4" w:rsidRDefault="00AE4F62" w:rsidP="00BD3B76">
                  <w:pPr>
                    <w:pStyle w:val="NoSpacing"/>
                    <w:jc w:val="right"/>
                    <w:rPr>
                      <w:i/>
                      <w:sz w:val="20"/>
                    </w:rPr>
                  </w:pPr>
                  <w:r>
                    <w:rPr>
                      <w:i/>
                      <w:sz w:val="20"/>
                    </w:rPr>
                    <w:t>X</w:t>
                  </w:r>
                </w:p>
              </w:tc>
              <w:tc>
                <w:tcPr>
                  <w:tcW w:w="2002" w:type="dxa"/>
                </w:tcPr>
                <w:p w14:paraId="2021EA79" w14:textId="77777777" w:rsidR="00A430C4" w:rsidRDefault="00A430C4" w:rsidP="00BD3B76">
                  <w:pPr>
                    <w:pStyle w:val="NoSpacing"/>
                    <w:jc w:val="right"/>
                    <w:rPr>
                      <w:i/>
                      <w:sz w:val="20"/>
                    </w:rPr>
                  </w:pPr>
                  <w:r>
                    <w:rPr>
                      <w:i/>
                      <w:sz w:val="20"/>
                    </w:rPr>
                    <w:t>Unacceptable</w:t>
                  </w:r>
                </w:p>
              </w:tc>
              <w:tc>
                <w:tcPr>
                  <w:tcW w:w="408" w:type="dxa"/>
                  <w:shd w:val="clear" w:color="auto" w:fill="DBE5F1" w:themeFill="accent1" w:themeFillTint="33"/>
                </w:tcPr>
                <w:p w14:paraId="502CD748" w14:textId="380CF553" w:rsidR="00A430C4" w:rsidRDefault="00A430C4" w:rsidP="00BD3B76">
                  <w:pPr>
                    <w:pStyle w:val="NoSpacing"/>
                    <w:rPr>
                      <w:i/>
                      <w:sz w:val="20"/>
                    </w:rPr>
                  </w:pPr>
                </w:p>
              </w:tc>
            </w:tr>
          </w:tbl>
          <w:p w14:paraId="6E5AD23E" w14:textId="77777777" w:rsidR="00A430C4" w:rsidRDefault="00A430C4" w:rsidP="00BD3B76">
            <w:pPr>
              <w:pStyle w:val="NoSpacing"/>
              <w:rPr>
                <w:i/>
                <w:sz w:val="20"/>
              </w:rPr>
            </w:pPr>
          </w:p>
          <w:p w14:paraId="2D40885D" w14:textId="77777777" w:rsidR="00A430C4" w:rsidRDefault="00A430C4" w:rsidP="00BD3B76">
            <w:pPr>
              <w:pStyle w:val="NoSpacing"/>
              <w:rPr>
                <w:sz w:val="20"/>
              </w:rPr>
            </w:pPr>
            <w:r w:rsidRPr="00C856F5">
              <w:rPr>
                <w:i/>
                <w:sz w:val="20"/>
              </w:rPr>
              <w:t>Rationale</w:t>
            </w:r>
            <w:r>
              <w:rPr>
                <w:sz w:val="20"/>
              </w:rPr>
              <w:t>:</w:t>
            </w:r>
          </w:p>
          <w:p w14:paraId="1FBC2ABC" w14:textId="2349958B" w:rsidR="00A430C4" w:rsidRPr="00C75EDD" w:rsidRDefault="007E78C3" w:rsidP="005F5952">
            <w:pPr>
              <w:pStyle w:val="NoSpacing"/>
              <w:rPr>
                <w:sz w:val="20"/>
              </w:rPr>
            </w:pPr>
            <w:r w:rsidRPr="005A0032">
              <w:lastRenderedPageBreak/>
              <w:t xml:space="preserve">Anglers could be against the barriers, </w:t>
            </w:r>
            <w:r w:rsidR="00F47EBD">
              <w:t>which</w:t>
            </w:r>
            <w:r w:rsidR="00F47EBD" w:rsidRPr="005A0032">
              <w:t xml:space="preserve"> </w:t>
            </w:r>
            <w:r w:rsidRPr="005A0032">
              <w:t xml:space="preserve">could impact species of </w:t>
            </w:r>
            <w:r w:rsidR="00F621E4" w:rsidRPr="005A0032">
              <w:t>fishing</w:t>
            </w:r>
            <w:r w:rsidRPr="005A0032">
              <w:t xml:space="preserve"> interest.</w:t>
            </w:r>
            <w:r w:rsidR="00B15733" w:rsidRPr="005A0032">
              <w:t xml:space="preserve"> Moreover, barriers impeding the movements of other species </w:t>
            </w:r>
            <w:r w:rsidR="005F5952">
              <w:t>might</w:t>
            </w:r>
            <w:r w:rsidR="005F5952" w:rsidRPr="005A0032">
              <w:t xml:space="preserve"> </w:t>
            </w:r>
            <w:r w:rsidR="00B15733" w:rsidRPr="005A0032">
              <w:t>not be positively perceived by the public. Finally, the cost of barriers (installation and maintenance) is high</w:t>
            </w:r>
            <w:r w:rsidR="005F5952">
              <w:t>,</w:t>
            </w:r>
            <w:r w:rsidR="00B15733" w:rsidRPr="005A0032">
              <w:t xml:space="preserve"> and thus </w:t>
            </w:r>
            <w:r w:rsidR="005F5952">
              <w:t>might</w:t>
            </w:r>
            <w:r w:rsidR="005F5952" w:rsidRPr="005A0032">
              <w:t xml:space="preserve"> </w:t>
            </w:r>
            <w:r w:rsidR="00B15733" w:rsidRPr="005A0032">
              <w:t>not be supported</w:t>
            </w:r>
            <w:r w:rsidR="005F5952">
              <w:t xml:space="preserve"> by some stakeholders</w:t>
            </w:r>
            <w:r w:rsidR="00B15733" w:rsidRPr="005A0032">
              <w:t>.</w:t>
            </w:r>
          </w:p>
        </w:tc>
      </w:tr>
      <w:tr w:rsidR="00A430C4" w14:paraId="1A29102E" w14:textId="77777777" w:rsidTr="00BD3B76">
        <w:tc>
          <w:tcPr>
            <w:tcW w:w="3295" w:type="dxa"/>
            <w:shd w:val="clear" w:color="auto" w:fill="DBE5F1" w:themeFill="accent1" w:themeFillTint="33"/>
          </w:tcPr>
          <w:p w14:paraId="364C958F" w14:textId="77777777" w:rsidR="00A430C4" w:rsidRPr="0039672E" w:rsidRDefault="00A430C4" w:rsidP="00BD3B76">
            <w:pPr>
              <w:pStyle w:val="NoSpacing"/>
              <w:rPr>
                <w:b/>
              </w:rPr>
            </w:pPr>
            <w:r w:rsidRPr="0039672E">
              <w:rPr>
                <w:b/>
              </w:rPr>
              <w:lastRenderedPageBreak/>
              <w:t>Additional cost information</w:t>
            </w:r>
            <w:r>
              <w:rPr>
                <w:b/>
              </w:rPr>
              <w:t xml:space="preserve"> </w:t>
            </w:r>
            <w:r>
              <w:rPr>
                <w:b/>
                <w:vertAlign w:val="superscript"/>
              </w:rPr>
              <w:t>1</w:t>
            </w:r>
          </w:p>
          <w:p w14:paraId="33126112" w14:textId="77777777" w:rsidR="00A430C4" w:rsidRDefault="00A430C4" w:rsidP="00BD3B76">
            <w:pPr>
              <w:rPr>
                <w:sz w:val="20"/>
              </w:rPr>
            </w:pPr>
            <w:r>
              <w:rPr>
                <w:sz w:val="20"/>
              </w:rPr>
              <w:t xml:space="preserve">When not already included above, or in the species Risk Assessment. </w:t>
            </w:r>
          </w:p>
          <w:p w14:paraId="6322CC60" w14:textId="77777777" w:rsidR="00A430C4" w:rsidRPr="00E662A4" w:rsidRDefault="00A430C4" w:rsidP="00BD3B76">
            <w:pPr>
              <w:rPr>
                <w:sz w:val="20"/>
              </w:rPr>
            </w:pPr>
            <w:r>
              <w:rPr>
                <w:sz w:val="20"/>
              </w:rPr>
              <w:t xml:space="preserve">- </w:t>
            </w:r>
            <w:r w:rsidRPr="00E662A4">
              <w:rPr>
                <w:sz w:val="20"/>
              </w:rPr>
              <w:t>implementation cost for Member States</w:t>
            </w:r>
          </w:p>
          <w:p w14:paraId="49075ABD" w14:textId="77777777" w:rsidR="00A430C4" w:rsidRPr="00E662A4" w:rsidRDefault="00A430C4" w:rsidP="00BD3B76">
            <w:pPr>
              <w:rPr>
                <w:sz w:val="20"/>
              </w:rPr>
            </w:pPr>
            <w:r>
              <w:rPr>
                <w:sz w:val="20"/>
              </w:rPr>
              <w:t xml:space="preserve">- </w:t>
            </w:r>
            <w:r w:rsidRPr="00E662A4">
              <w:rPr>
                <w:sz w:val="20"/>
              </w:rPr>
              <w:t>the cost of inaction</w:t>
            </w:r>
          </w:p>
          <w:p w14:paraId="3A30D2A9" w14:textId="77777777" w:rsidR="00A430C4" w:rsidRPr="00E662A4" w:rsidRDefault="00A430C4" w:rsidP="00BD3B76">
            <w:pPr>
              <w:rPr>
                <w:sz w:val="20"/>
              </w:rPr>
            </w:pPr>
            <w:r>
              <w:rPr>
                <w:sz w:val="20"/>
              </w:rPr>
              <w:t xml:space="preserve">- </w:t>
            </w:r>
            <w:r w:rsidRPr="00E662A4">
              <w:rPr>
                <w:sz w:val="20"/>
              </w:rPr>
              <w:t>the cost-effectiveness</w:t>
            </w:r>
          </w:p>
          <w:p w14:paraId="7E0E7A9A" w14:textId="77777777" w:rsidR="00A430C4" w:rsidRDefault="00A430C4" w:rsidP="00BD3B76">
            <w:pPr>
              <w:pStyle w:val="NoSpacing"/>
              <w:rPr>
                <w:sz w:val="20"/>
              </w:rPr>
            </w:pPr>
            <w:r>
              <w:rPr>
                <w:sz w:val="20"/>
              </w:rPr>
              <w:t xml:space="preserve">- </w:t>
            </w:r>
            <w:r w:rsidRPr="00E662A4">
              <w:rPr>
                <w:sz w:val="20"/>
              </w:rPr>
              <w:t>the socio-economic aspects</w:t>
            </w:r>
          </w:p>
          <w:p w14:paraId="0C8264A7" w14:textId="77777777" w:rsidR="00A430C4" w:rsidRDefault="00A430C4" w:rsidP="00BD3B76">
            <w:pPr>
              <w:pStyle w:val="NoSpacing"/>
              <w:rPr>
                <w:sz w:val="20"/>
              </w:rPr>
            </w:pPr>
          </w:p>
          <w:p w14:paraId="015C1424" w14:textId="77777777" w:rsidR="00A430C4" w:rsidRPr="002B6463" w:rsidRDefault="00A430C4" w:rsidP="00BD3B76">
            <w:pPr>
              <w:pStyle w:val="NoSpacing"/>
              <w:rPr>
                <w:sz w:val="20"/>
              </w:rPr>
            </w:pPr>
            <w:r>
              <w:rPr>
                <w:sz w:val="20"/>
              </w:rPr>
              <w:t>Include quantitative &amp;/or qualitative data, and case studies (incl. from countries outside the EU).</w:t>
            </w:r>
          </w:p>
        </w:tc>
        <w:tc>
          <w:tcPr>
            <w:tcW w:w="10653" w:type="dxa"/>
          </w:tcPr>
          <w:p w14:paraId="447D68C4" w14:textId="6169EA78" w:rsidR="00A430C4" w:rsidRDefault="00B15733" w:rsidP="00B56157">
            <w:pPr>
              <w:pStyle w:val="NoSpacing"/>
              <w:rPr>
                <w:sz w:val="20"/>
              </w:rPr>
            </w:pPr>
            <w:r w:rsidRPr="005A0032">
              <w:t xml:space="preserve">Cost of its implementation would be high, while its </w:t>
            </w:r>
            <w:r w:rsidR="00CA63A4" w:rsidRPr="005A0032">
              <w:t>cost-</w:t>
            </w:r>
            <w:r w:rsidRPr="005A0032">
              <w:t xml:space="preserve">effectiveness </w:t>
            </w:r>
            <w:r w:rsidR="00F21AFE" w:rsidRPr="005A0032">
              <w:t xml:space="preserve">is </w:t>
            </w:r>
            <w:r w:rsidR="000C71D9" w:rsidRPr="005A0032">
              <w:t>debated</w:t>
            </w:r>
            <w:r w:rsidRPr="005A0032">
              <w:t>.</w:t>
            </w:r>
            <w:r w:rsidR="00BA58F0" w:rsidRPr="005A0032">
              <w:t xml:space="preserve"> </w:t>
            </w:r>
            <w:r w:rsidR="00380E66" w:rsidRPr="005A0032">
              <w:t>Temporary barriers could be adopted in some cases.</w:t>
            </w:r>
          </w:p>
        </w:tc>
      </w:tr>
      <w:tr w:rsidR="00A430C4" w14:paraId="5D8A607A" w14:textId="77777777" w:rsidTr="00BD3B76">
        <w:tc>
          <w:tcPr>
            <w:tcW w:w="3295" w:type="dxa"/>
            <w:tcBorders>
              <w:bottom w:val="single" w:sz="4" w:space="0" w:color="auto"/>
            </w:tcBorders>
            <w:shd w:val="clear" w:color="auto" w:fill="DBE5F1" w:themeFill="accent1" w:themeFillTint="33"/>
          </w:tcPr>
          <w:p w14:paraId="345E8602" w14:textId="77777777" w:rsidR="00A430C4" w:rsidRDefault="00A430C4" w:rsidP="00BD3B76">
            <w:pPr>
              <w:pStyle w:val="NoSpacing"/>
              <w:rPr>
                <w:b/>
              </w:rPr>
            </w:pPr>
            <w:r w:rsidRPr="002B6463">
              <w:rPr>
                <w:b/>
              </w:rPr>
              <w:t>Level of confidence</w:t>
            </w:r>
            <w:r>
              <w:rPr>
                <w:b/>
              </w:rPr>
              <w:t xml:space="preserve"> on the information provided </w:t>
            </w:r>
            <w:r>
              <w:rPr>
                <w:b/>
                <w:vertAlign w:val="superscript"/>
              </w:rPr>
              <w:t>2</w:t>
            </w:r>
          </w:p>
          <w:p w14:paraId="2947D7A4" w14:textId="77777777" w:rsidR="00A430C4" w:rsidRDefault="00A430C4" w:rsidP="00BD3B76">
            <w:pPr>
              <w:pStyle w:val="NoSpacing"/>
              <w:rPr>
                <w:rFonts w:eastAsia="Times New Roman" w:cstheme="minorHAnsi"/>
                <w:b/>
                <w:sz w:val="20"/>
                <w:szCs w:val="20"/>
              </w:rPr>
            </w:pPr>
          </w:p>
          <w:p w14:paraId="44286B0C" w14:textId="77777777" w:rsidR="00A430C4" w:rsidRPr="00DE32F5" w:rsidRDefault="00A430C4" w:rsidP="00BD3B76">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5D9F753D" w14:textId="77777777" w:rsidR="00A430C4" w:rsidRDefault="00A430C4" w:rsidP="00BD3B76">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A430C4" w14:paraId="40A88551" w14:textId="77777777" w:rsidTr="00BD3B76">
              <w:tc>
                <w:tcPr>
                  <w:tcW w:w="2024" w:type="dxa"/>
                </w:tcPr>
                <w:p w14:paraId="496182BF" w14:textId="77777777" w:rsidR="00A430C4" w:rsidRPr="007C64EE" w:rsidRDefault="00A430C4" w:rsidP="00BD3B76">
                  <w:pPr>
                    <w:pStyle w:val="NoSpacing"/>
                    <w:rPr>
                      <w:i/>
                      <w:sz w:val="20"/>
                    </w:rPr>
                  </w:pPr>
                  <w:r>
                    <w:rPr>
                      <w:i/>
                      <w:sz w:val="20"/>
                    </w:rPr>
                    <w:t>Inconclusive</w:t>
                  </w:r>
                </w:p>
              </w:tc>
              <w:tc>
                <w:tcPr>
                  <w:tcW w:w="375" w:type="dxa"/>
                  <w:shd w:val="clear" w:color="auto" w:fill="DBE5F1" w:themeFill="accent1" w:themeFillTint="33"/>
                </w:tcPr>
                <w:p w14:paraId="3CE1AE35" w14:textId="77777777" w:rsidR="00A430C4" w:rsidRDefault="00A430C4" w:rsidP="00BD3B76">
                  <w:pPr>
                    <w:pStyle w:val="NoSpacing"/>
                    <w:jc w:val="right"/>
                    <w:rPr>
                      <w:i/>
                      <w:sz w:val="20"/>
                    </w:rPr>
                  </w:pPr>
                </w:p>
              </w:tc>
              <w:tc>
                <w:tcPr>
                  <w:tcW w:w="1559" w:type="dxa"/>
                </w:tcPr>
                <w:p w14:paraId="38E4F268" w14:textId="77777777" w:rsidR="00A430C4" w:rsidRDefault="00A430C4" w:rsidP="00BD3B76">
                  <w:pPr>
                    <w:pStyle w:val="NoSpacing"/>
                    <w:jc w:val="right"/>
                    <w:rPr>
                      <w:i/>
                      <w:sz w:val="20"/>
                    </w:rPr>
                  </w:pPr>
                  <w:r>
                    <w:rPr>
                      <w:i/>
                      <w:sz w:val="20"/>
                    </w:rPr>
                    <w:t>Unresolved</w:t>
                  </w:r>
                </w:p>
              </w:tc>
              <w:tc>
                <w:tcPr>
                  <w:tcW w:w="426" w:type="dxa"/>
                  <w:shd w:val="clear" w:color="auto" w:fill="DBE5F1" w:themeFill="accent1" w:themeFillTint="33"/>
                </w:tcPr>
                <w:p w14:paraId="423460BD" w14:textId="77777777" w:rsidR="00A430C4" w:rsidRDefault="00A430C4" w:rsidP="00BD3B76">
                  <w:pPr>
                    <w:pStyle w:val="NoSpacing"/>
                    <w:jc w:val="right"/>
                    <w:rPr>
                      <w:i/>
                      <w:sz w:val="20"/>
                    </w:rPr>
                  </w:pPr>
                </w:p>
              </w:tc>
              <w:tc>
                <w:tcPr>
                  <w:tcW w:w="2126" w:type="dxa"/>
                </w:tcPr>
                <w:p w14:paraId="6E700E25" w14:textId="77777777" w:rsidR="00A430C4" w:rsidRDefault="00A430C4" w:rsidP="00BD3B76">
                  <w:pPr>
                    <w:pStyle w:val="NoSpacing"/>
                    <w:jc w:val="right"/>
                    <w:rPr>
                      <w:i/>
                      <w:sz w:val="20"/>
                    </w:rPr>
                  </w:pPr>
                  <w:r>
                    <w:rPr>
                      <w:i/>
                      <w:sz w:val="20"/>
                    </w:rPr>
                    <w:t>Established but incomplete</w:t>
                  </w:r>
                </w:p>
              </w:tc>
              <w:tc>
                <w:tcPr>
                  <w:tcW w:w="425" w:type="dxa"/>
                  <w:shd w:val="clear" w:color="auto" w:fill="DBE5F1" w:themeFill="accent1" w:themeFillTint="33"/>
                </w:tcPr>
                <w:p w14:paraId="5BDB9953" w14:textId="6139CA2E" w:rsidR="00A430C4" w:rsidRDefault="00A430C4" w:rsidP="00BD3B76">
                  <w:pPr>
                    <w:pStyle w:val="NoSpacing"/>
                    <w:jc w:val="right"/>
                    <w:rPr>
                      <w:i/>
                      <w:sz w:val="20"/>
                    </w:rPr>
                  </w:pPr>
                </w:p>
              </w:tc>
              <w:tc>
                <w:tcPr>
                  <w:tcW w:w="2268" w:type="dxa"/>
                </w:tcPr>
                <w:p w14:paraId="1295F6F9" w14:textId="77777777" w:rsidR="00A430C4" w:rsidRDefault="00A430C4" w:rsidP="00BD3B76">
                  <w:pPr>
                    <w:pStyle w:val="NoSpacing"/>
                    <w:jc w:val="right"/>
                    <w:rPr>
                      <w:i/>
                      <w:sz w:val="20"/>
                    </w:rPr>
                  </w:pPr>
                  <w:r>
                    <w:rPr>
                      <w:i/>
                      <w:sz w:val="20"/>
                    </w:rPr>
                    <w:t>Well established</w:t>
                  </w:r>
                </w:p>
              </w:tc>
              <w:tc>
                <w:tcPr>
                  <w:tcW w:w="425" w:type="dxa"/>
                  <w:shd w:val="clear" w:color="auto" w:fill="DBE5F1" w:themeFill="accent1" w:themeFillTint="33"/>
                </w:tcPr>
                <w:p w14:paraId="1E305E90" w14:textId="010E280C" w:rsidR="00A430C4" w:rsidRDefault="00B15733" w:rsidP="00BD3B76">
                  <w:pPr>
                    <w:pStyle w:val="NoSpacing"/>
                    <w:rPr>
                      <w:i/>
                      <w:sz w:val="20"/>
                    </w:rPr>
                  </w:pPr>
                  <w:r>
                    <w:rPr>
                      <w:i/>
                      <w:sz w:val="20"/>
                    </w:rPr>
                    <w:t>X</w:t>
                  </w:r>
                </w:p>
              </w:tc>
            </w:tr>
          </w:tbl>
          <w:p w14:paraId="1C0F4773" w14:textId="77777777" w:rsidR="00A430C4" w:rsidRDefault="00A430C4" w:rsidP="00BD3B76">
            <w:pPr>
              <w:pStyle w:val="NoSpacing"/>
              <w:rPr>
                <w:i/>
                <w:sz w:val="20"/>
              </w:rPr>
            </w:pPr>
          </w:p>
          <w:p w14:paraId="1134C426" w14:textId="77777777" w:rsidR="00A430C4" w:rsidRDefault="00A430C4" w:rsidP="00BD3B76">
            <w:pPr>
              <w:pStyle w:val="NoSpacing"/>
              <w:rPr>
                <w:sz w:val="20"/>
              </w:rPr>
            </w:pPr>
            <w:r w:rsidRPr="00C856F5">
              <w:rPr>
                <w:i/>
                <w:sz w:val="20"/>
              </w:rPr>
              <w:t>Rationale</w:t>
            </w:r>
            <w:r>
              <w:rPr>
                <w:sz w:val="20"/>
              </w:rPr>
              <w:t>:</w:t>
            </w:r>
          </w:p>
          <w:p w14:paraId="30559037" w14:textId="7A612E6A" w:rsidR="00A430C4" w:rsidRPr="000747C0" w:rsidRDefault="00B15733" w:rsidP="006B2A49">
            <w:pPr>
              <w:pStyle w:val="NoSpacing"/>
              <w:rPr>
                <w:sz w:val="20"/>
                <w:szCs w:val="20"/>
              </w:rPr>
            </w:pPr>
            <w:r w:rsidRPr="005A0032">
              <w:rPr>
                <w:szCs w:val="20"/>
              </w:rPr>
              <w:t xml:space="preserve">Experience and information </w:t>
            </w:r>
            <w:r w:rsidR="003B742C" w:rsidRPr="005A0032">
              <w:rPr>
                <w:szCs w:val="20"/>
              </w:rPr>
              <w:t xml:space="preserve">in the literature on this measure </w:t>
            </w:r>
            <w:r w:rsidRPr="005A0032">
              <w:rPr>
                <w:szCs w:val="20"/>
              </w:rPr>
              <w:t xml:space="preserve">are available </w:t>
            </w:r>
            <w:r w:rsidR="000747C0" w:rsidRPr="005A0032">
              <w:rPr>
                <w:szCs w:val="20"/>
              </w:rPr>
              <w:t xml:space="preserve">and </w:t>
            </w:r>
            <w:r w:rsidR="00F21AFE" w:rsidRPr="005A0032">
              <w:rPr>
                <w:szCs w:val="20"/>
              </w:rPr>
              <w:t xml:space="preserve">generally </w:t>
            </w:r>
            <w:r w:rsidR="000747C0" w:rsidRPr="005A0032">
              <w:rPr>
                <w:szCs w:val="20"/>
              </w:rPr>
              <w:t xml:space="preserve">agree on its </w:t>
            </w:r>
            <w:r w:rsidR="00EC06B1" w:rsidRPr="005A0032">
              <w:rPr>
                <w:szCs w:val="20"/>
              </w:rPr>
              <w:t xml:space="preserve">very low </w:t>
            </w:r>
            <w:r w:rsidR="000747C0" w:rsidRPr="005A0032">
              <w:rPr>
                <w:szCs w:val="20"/>
              </w:rPr>
              <w:t>effectiveness</w:t>
            </w:r>
            <w:r w:rsidR="003A3008" w:rsidRPr="005A0032">
              <w:rPr>
                <w:szCs w:val="20"/>
              </w:rPr>
              <w:t xml:space="preserve"> to prevent </w:t>
            </w:r>
            <w:r w:rsidR="000D620D">
              <w:rPr>
                <w:szCs w:val="20"/>
              </w:rPr>
              <w:t>secondary spread</w:t>
            </w:r>
            <w:r w:rsidR="000D620D" w:rsidRPr="005A0032">
              <w:rPr>
                <w:szCs w:val="20"/>
              </w:rPr>
              <w:t xml:space="preserve"> </w:t>
            </w:r>
            <w:r w:rsidR="00671A90">
              <w:rPr>
                <w:szCs w:val="20"/>
              </w:rPr>
              <w:t>in</w:t>
            </w:r>
            <w:r w:rsidR="000D620D">
              <w:rPr>
                <w:szCs w:val="20"/>
              </w:rPr>
              <w:t>to</w:t>
            </w:r>
            <w:r w:rsidR="00671A90">
              <w:rPr>
                <w:szCs w:val="20"/>
              </w:rPr>
              <w:t xml:space="preserve"> new </w:t>
            </w:r>
            <w:r w:rsidR="006B2A49">
              <w:rPr>
                <w:szCs w:val="20"/>
              </w:rPr>
              <w:t>areas</w:t>
            </w:r>
            <w:r w:rsidR="000747C0" w:rsidRPr="005A0032">
              <w:rPr>
                <w:szCs w:val="20"/>
              </w:rPr>
              <w:t>.</w:t>
            </w:r>
          </w:p>
        </w:tc>
      </w:tr>
    </w:tbl>
    <w:p w14:paraId="37C61CFB" w14:textId="7A6846E5" w:rsidR="00346840" w:rsidRDefault="00346840"/>
    <w:p w14:paraId="0D74CAB6" w14:textId="77777777" w:rsidR="005A0032" w:rsidRDefault="005A0032"/>
    <w:tbl>
      <w:tblPr>
        <w:tblStyle w:val="TableGrid"/>
        <w:tblW w:w="0" w:type="auto"/>
        <w:tblLook w:val="04A0" w:firstRow="1" w:lastRow="0" w:firstColumn="1" w:lastColumn="0" w:noHBand="0" w:noVBand="1"/>
      </w:tblPr>
      <w:tblGrid>
        <w:gridCol w:w="3295"/>
        <w:gridCol w:w="10653"/>
      </w:tblGrid>
      <w:tr w:rsidR="00346840" w14:paraId="7CAFF046" w14:textId="77777777" w:rsidTr="00292074">
        <w:tc>
          <w:tcPr>
            <w:tcW w:w="13948" w:type="dxa"/>
            <w:gridSpan w:val="2"/>
            <w:shd w:val="clear" w:color="auto" w:fill="244061" w:themeFill="accent1" w:themeFillShade="80"/>
          </w:tcPr>
          <w:p w14:paraId="0E76BFFC" w14:textId="230E9CF6" w:rsidR="00346840" w:rsidRPr="00346840" w:rsidRDefault="00346840" w:rsidP="00346840">
            <w:pPr>
              <w:pStyle w:val="NoSpacing"/>
              <w:rPr>
                <w:rFonts w:cstheme="minorHAnsi"/>
                <w:b/>
                <w:sz w:val="20"/>
                <w:szCs w:val="24"/>
              </w:rPr>
            </w:pPr>
            <w:r>
              <w:rPr>
                <w:rFonts w:eastAsia="Times New Roman"/>
                <w:b/>
                <w:sz w:val="28"/>
              </w:rPr>
              <w:t xml:space="preserve">Prevention of </w:t>
            </w:r>
            <w:r>
              <w:rPr>
                <w:rFonts w:eastAsia="Times New Roman"/>
                <w:b/>
                <w:sz w:val="28"/>
                <w:u w:val="single"/>
              </w:rPr>
              <w:t xml:space="preserve">secondary spread </w:t>
            </w:r>
            <w:r w:rsidRPr="00346840">
              <w:rPr>
                <w:rFonts w:eastAsia="Times New Roman"/>
                <w:b/>
                <w:sz w:val="28"/>
              </w:rPr>
              <w:t>of the species</w:t>
            </w:r>
            <w:r>
              <w:rPr>
                <w:rFonts w:eastAsia="Times New Roman"/>
                <w:b/>
                <w:sz w:val="28"/>
              </w:rPr>
              <w:t xml:space="preserve"> </w:t>
            </w:r>
            <w:r>
              <w:rPr>
                <w:rFonts w:cstheme="minorHAnsi"/>
                <w:sz w:val="20"/>
                <w:szCs w:val="20"/>
              </w:rPr>
              <w:t>– measures for preventing the species spreading once they have been introduced (cf. Article 13 of the IAS Regulation</w:t>
            </w:r>
            <w:r w:rsidRPr="00280410">
              <w:rPr>
                <w:rFonts w:cstheme="minorHAnsi"/>
                <w:sz w:val="20"/>
                <w:szCs w:val="20"/>
              </w:rPr>
              <w:t>)</w:t>
            </w:r>
            <w:r>
              <w:rPr>
                <w:rFonts w:cstheme="minorHAnsi"/>
                <w:sz w:val="20"/>
                <w:szCs w:val="20"/>
              </w:rPr>
              <w:t>.</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 xml:space="preserve">is repeated for each of the </w:t>
            </w:r>
            <w:r w:rsidRPr="00280410">
              <w:rPr>
                <w:rFonts w:cstheme="minorHAnsi"/>
                <w:b/>
                <w:sz w:val="20"/>
                <w:szCs w:val="24"/>
              </w:rPr>
              <w:t>prevention measures</w:t>
            </w:r>
            <w:r>
              <w:rPr>
                <w:rFonts w:cstheme="minorHAnsi"/>
                <w:b/>
                <w:sz w:val="20"/>
                <w:szCs w:val="24"/>
              </w:rPr>
              <w:t xml:space="preserve"> identified</w:t>
            </w:r>
            <w:r w:rsidRPr="00280410">
              <w:rPr>
                <w:rFonts w:cstheme="minorHAnsi"/>
                <w:b/>
                <w:sz w:val="20"/>
                <w:szCs w:val="24"/>
              </w:rPr>
              <w:t>.</w:t>
            </w:r>
          </w:p>
        </w:tc>
      </w:tr>
      <w:tr w:rsidR="00346840" w14:paraId="1D8134DC" w14:textId="77777777" w:rsidTr="00A2483D">
        <w:trPr>
          <w:trHeight w:val="517"/>
        </w:trPr>
        <w:tc>
          <w:tcPr>
            <w:tcW w:w="3295" w:type="dxa"/>
            <w:tcBorders>
              <w:bottom w:val="single" w:sz="4" w:space="0" w:color="auto"/>
            </w:tcBorders>
            <w:shd w:val="clear" w:color="auto" w:fill="DBE5F1" w:themeFill="accent1" w:themeFillTint="33"/>
          </w:tcPr>
          <w:p w14:paraId="04A1A372" w14:textId="77777777" w:rsidR="00346840" w:rsidRDefault="00346840" w:rsidP="00A2483D">
            <w:pPr>
              <w:pStyle w:val="NoSpacing"/>
              <w:rPr>
                <w:b/>
              </w:rPr>
            </w:pPr>
            <w:r>
              <w:rPr>
                <w:b/>
              </w:rPr>
              <w:t>Measure description</w:t>
            </w:r>
          </w:p>
          <w:p w14:paraId="48080330" w14:textId="77777777" w:rsidR="00346840" w:rsidRDefault="00346840" w:rsidP="00A2483D">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p w14:paraId="766F19CE" w14:textId="77777777" w:rsidR="00346840" w:rsidRPr="002B6463" w:rsidRDefault="00346840" w:rsidP="00A2483D">
            <w:pPr>
              <w:pStyle w:val="NoSpacing"/>
              <w:rPr>
                <w:b/>
                <w:sz w:val="28"/>
              </w:rPr>
            </w:pPr>
          </w:p>
        </w:tc>
        <w:tc>
          <w:tcPr>
            <w:tcW w:w="10653" w:type="dxa"/>
            <w:tcBorders>
              <w:bottom w:val="single" w:sz="4" w:space="0" w:color="auto"/>
            </w:tcBorders>
          </w:tcPr>
          <w:p w14:paraId="2598658A" w14:textId="4A0DAA95" w:rsidR="00BE1864" w:rsidRPr="005A0032" w:rsidRDefault="00AA50D5" w:rsidP="00A2483D">
            <w:pPr>
              <w:rPr>
                <w:b/>
              </w:rPr>
            </w:pPr>
            <w:r w:rsidRPr="005A0032">
              <w:rPr>
                <w:b/>
              </w:rPr>
              <w:t xml:space="preserve">Intensive </w:t>
            </w:r>
            <w:r w:rsidR="009A4FE4" w:rsidRPr="005A0032">
              <w:rPr>
                <w:b/>
              </w:rPr>
              <w:t>trapping</w:t>
            </w:r>
          </w:p>
          <w:p w14:paraId="1777A1E7" w14:textId="4761B158" w:rsidR="00816A28" w:rsidRPr="005A0032" w:rsidRDefault="00816A28" w:rsidP="00A2483D"/>
          <w:p w14:paraId="2B219455" w14:textId="3FA4CD06" w:rsidR="003165FB" w:rsidRPr="005A0032" w:rsidRDefault="00644881" w:rsidP="00FC5980">
            <w:r w:rsidRPr="005A0032">
              <w:t xml:space="preserve">Intensive trapping </w:t>
            </w:r>
            <w:r w:rsidR="0000743A" w:rsidRPr="005A0032">
              <w:t xml:space="preserve">can be conducted to prevent spread of the species </w:t>
            </w:r>
            <w:r w:rsidR="00C60B2B">
              <w:t>to</w:t>
            </w:r>
            <w:r w:rsidR="00C60B2B" w:rsidRPr="005A0032">
              <w:t xml:space="preserve"> </w:t>
            </w:r>
            <w:r w:rsidR="0000743A" w:rsidRPr="005A0032">
              <w:t xml:space="preserve">neighbouring areas </w:t>
            </w:r>
            <w:r w:rsidR="000E72C7" w:rsidRPr="005A0032">
              <w:t xml:space="preserve">from the </w:t>
            </w:r>
            <w:r w:rsidR="007C2633" w:rsidRPr="005A0032">
              <w:t>area</w:t>
            </w:r>
            <w:r w:rsidR="00D93558" w:rsidRPr="005A0032">
              <w:t xml:space="preserve"> of in</w:t>
            </w:r>
            <w:r w:rsidR="007C2633" w:rsidRPr="005A0032">
              <w:t>vasion</w:t>
            </w:r>
            <w:r w:rsidR="0000743A" w:rsidRPr="005A0032">
              <w:t>. Different types of traps</w:t>
            </w:r>
            <w:r w:rsidR="005E48E1" w:rsidRPr="005A0032">
              <w:t>/devices</w:t>
            </w:r>
            <w:r w:rsidR="0000743A" w:rsidRPr="005A0032">
              <w:t xml:space="preserve"> </w:t>
            </w:r>
            <w:r w:rsidR="00D93558" w:rsidRPr="005A0032">
              <w:t>are available</w:t>
            </w:r>
            <w:r w:rsidR="00C60B2B">
              <w:t>,</w:t>
            </w:r>
            <w:r w:rsidR="00D93558" w:rsidRPr="005A0032">
              <w:t xml:space="preserve"> </w:t>
            </w:r>
            <w:r w:rsidR="005E48E1" w:rsidRPr="005A0032">
              <w:t>e.g. baited traps, fyke nets, ring net</w:t>
            </w:r>
            <w:r w:rsidR="00C60B2B">
              <w:t>s</w:t>
            </w:r>
            <w:r w:rsidR="005E48E1" w:rsidRPr="005A0032">
              <w:t>, star trap</w:t>
            </w:r>
            <w:r w:rsidR="00C60B2B">
              <w:t>s</w:t>
            </w:r>
            <w:r w:rsidR="005E48E1" w:rsidRPr="005A0032">
              <w:t>, snare trap</w:t>
            </w:r>
            <w:r w:rsidR="00C60B2B">
              <w:t>s</w:t>
            </w:r>
            <w:r w:rsidR="005E48E1" w:rsidRPr="005A0032">
              <w:t xml:space="preserve">; for a complete review please see Eberhardt et al. </w:t>
            </w:r>
            <w:r w:rsidR="00C60B2B">
              <w:t>(</w:t>
            </w:r>
            <w:r w:rsidR="005E48E1" w:rsidRPr="005A0032">
              <w:t xml:space="preserve">2016). </w:t>
            </w:r>
            <w:r w:rsidR="00A00EF1" w:rsidRPr="005A0032">
              <w:t>The</w:t>
            </w:r>
            <w:r w:rsidR="00C60B2B">
              <w:t>se devices</w:t>
            </w:r>
            <w:r w:rsidR="00A00EF1" w:rsidRPr="005A0032">
              <w:t xml:space="preserve"> allow the animals to enter</w:t>
            </w:r>
            <w:r w:rsidR="00C60B2B">
              <w:t>,</w:t>
            </w:r>
            <w:r w:rsidR="00A00EF1" w:rsidRPr="005A0032">
              <w:t xml:space="preserve"> but not to </w:t>
            </w:r>
            <w:r w:rsidR="00A00EF1" w:rsidRPr="005A0032">
              <w:lastRenderedPageBreak/>
              <w:t xml:space="preserve">escape. </w:t>
            </w:r>
            <w:r w:rsidR="00F97544" w:rsidRPr="005A0032">
              <w:t>F</w:t>
            </w:r>
            <w:r w:rsidR="009A4FE4" w:rsidRPr="005A0032">
              <w:t xml:space="preserve">yke nets </w:t>
            </w:r>
            <w:r w:rsidR="00372A76" w:rsidRPr="005A0032">
              <w:t>(with o</w:t>
            </w:r>
            <w:r w:rsidR="00B25CE3">
              <w:t>r</w:t>
            </w:r>
            <w:r w:rsidR="00372A76" w:rsidRPr="005A0032">
              <w:t xml:space="preserve"> without leaders) </w:t>
            </w:r>
            <w:r w:rsidR="001804A0" w:rsidRPr="005A0032">
              <w:t>seem to be efficient (Garcia-de-Lomas et al., 2010)</w:t>
            </w:r>
            <w:r w:rsidR="00C60B2B">
              <w:t xml:space="preserve"> and</w:t>
            </w:r>
            <w:r w:rsidR="001804A0" w:rsidRPr="005A0032">
              <w:t xml:space="preserve"> </w:t>
            </w:r>
            <w:r w:rsidR="00F97544" w:rsidRPr="005A0032">
              <w:t xml:space="preserve">can </w:t>
            </w:r>
            <w:r w:rsidR="00C60B2B" w:rsidRPr="005A0032">
              <w:t xml:space="preserve">be </w:t>
            </w:r>
            <w:r w:rsidR="00F97544" w:rsidRPr="005A0032">
              <w:t xml:space="preserve">modified to avoid fish bycatch. </w:t>
            </w:r>
            <w:r w:rsidR="001804A0" w:rsidRPr="005A0032">
              <w:t>T</w:t>
            </w:r>
            <w:r w:rsidR="00F97544" w:rsidRPr="005A0032">
              <w:t>rappin</w:t>
            </w:r>
            <w:r w:rsidR="00D66706" w:rsidRPr="005A0032">
              <w:t>g</w:t>
            </w:r>
            <w:r w:rsidR="001804A0" w:rsidRPr="005A0032">
              <w:t xml:space="preserve"> is m</w:t>
            </w:r>
            <w:r w:rsidR="00816A28" w:rsidRPr="005A0032">
              <w:t>ost effective during migration</w:t>
            </w:r>
            <w:r w:rsidR="001804A0" w:rsidRPr="005A0032">
              <w:t xml:space="preserve"> periods</w:t>
            </w:r>
            <w:r w:rsidR="001B0281" w:rsidRPr="005A0032">
              <w:t xml:space="preserve">, </w:t>
            </w:r>
            <w:r w:rsidR="00C60B2B">
              <w:t xml:space="preserve">by </w:t>
            </w:r>
            <w:r w:rsidR="001B0281" w:rsidRPr="005A0032">
              <w:t>placing t</w:t>
            </w:r>
            <w:r w:rsidR="00816A28" w:rsidRPr="005A0032">
              <w:t>raps upstream (</w:t>
            </w:r>
            <w:r w:rsidR="00A746A6">
              <w:t xml:space="preserve">targeting </w:t>
            </w:r>
            <w:r w:rsidR="00816A28" w:rsidRPr="005A0032">
              <w:t>juvenile</w:t>
            </w:r>
            <w:r w:rsidR="00E93DC6" w:rsidRPr="005A0032">
              <w:t xml:space="preserve"> </w:t>
            </w:r>
            <w:r w:rsidR="00816A28" w:rsidRPr="005A0032">
              <w:t>migration) or downstream (</w:t>
            </w:r>
            <w:r w:rsidR="00A746A6">
              <w:t xml:space="preserve">targeting </w:t>
            </w:r>
            <w:r w:rsidR="00816A28" w:rsidRPr="005A0032">
              <w:t>adult migration) of dams/weirs</w:t>
            </w:r>
            <w:r w:rsidR="001B0281" w:rsidRPr="005A0032">
              <w:t>. Indeed, trapping success is highest in the vicinity of migration barriers</w:t>
            </w:r>
            <w:r w:rsidR="00A746A6">
              <w:t>,</w:t>
            </w:r>
            <w:r w:rsidR="001B0281" w:rsidRPr="005A0032">
              <w:t xml:space="preserve"> where animals </w:t>
            </w:r>
            <w:r w:rsidR="00E93DC6" w:rsidRPr="005A0032">
              <w:t>accumulate</w:t>
            </w:r>
            <w:r w:rsidR="001B0281" w:rsidRPr="005A0032">
              <w:t xml:space="preserve"> during upstream migration in spring and downstream migration in autumn</w:t>
            </w:r>
            <w:r w:rsidR="00E93DC6" w:rsidRPr="005A0032">
              <w:t xml:space="preserve"> (</w:t>
            </w:r>
            <w:r w:rsidR="00471D07" w:rsidRPr="005A0032">
              <w:t xml:space="preserve">Bouma </w:t>
            </w:r>
            <w:r w:rsidR="008D1CE0" w:rsidRPr="005A0032">
              <w:t>&amp;</w:t>
            </w:r>
            <w:r w:rsidR="00471D07" w:rsidRPr="005A0032">
              <w:t xml:space="preserve"> Soes, 2010; </w:t>
            </w:r>
            <w:r w:rsidR="00E93DC6" w:rsidRPr="005A0032">
              <w:t>Eberhardt et al., 2016)</w:t>
            </w:r>
            <w:r w:rsidR="00760E08" w:rsidRPr="005A0032">
              <w:t xml:space="preserve">. </w:t>
            </w:r>
            <w:r w:rsidR="000065CF">
              <w:t xml:space="preserve">It is suggested to set the traps on the bottom for a more efficient action (INBO, 2017); guidance systems could also </w:t>
            </w:r>
            <w:r w:rsidR="00C06193">
              <w:t xml:space="preserve">be </w:t>
            </w:r>
            <w:r w:rsidR="000065CF">
              <w:t>used to direct the specimens in</w:t>
            </w:r>
            <w:r w:rsidR="00C06193">
              <w:t>to</w:t>
            </w:r>
            <w:r w:rsidR="000065CF">
              <w:t xml:space="preserve"> the traps/devices or in</w:t>
            </w:r>
            <w:r w:rsidR="00C06193">
              <w:t>to</w:t>
            </w:r>
            <w:r w:rsidR="000065CF">
              <w:t xml:space="preserve"> fall buckets (INBO, 2017). </w:t>
            </w:r>
            <w:r w:rsidR="000065CF" w:rsidRPr="000065CF">
              <w:t xml:space="preserve">Where </w:t>
            </w:r>
            <w:r w:rsidR="000065CF">
              <w:t xml:space="preserve">possible (e.g. </w:t>
            </w:r>
            <w:r w:rsidR="009C362E">
              <w:t>along dam</w:t>
            </w:r>
            <w:r w:rsidR="00C06193">
              <w:t>s</w:t>
            </w:r>
            <w:r w:rsidR="009C362E">
              <w:t>/weirs)</w:t>
            </w:r>
            <w:r w:rsidR="000065CF" w:rsidRPr="000065CF">
              <w:t>, the lifting of the traps can be mechani</w:t>
            </w:r>
            <w:r w:rsidR="00C06193">
              <w:t>s</w:t>
            </w:r>
            <w:r w:rsidR="000065CF" w:rsidRPr="000065CF">
              <w:t>ed</w:t>
            </w:r>
            <w:r w:rsidR="000065CF">
              <w:t xml:space="preserve"> (INBO, 2017). </w:t>
            </w:r>
            <w:r w:rsidR="006D06EA" w:rsidRPr="005A0032">
              <w:t>In Garcia-de-Lomas et al. (2010)</w:t>
            </w:r>
            <w:r w:rsidR="003165FB" w:rsidRPr="005A0032">
              <w:t xml:space="preserve">, lines of fyke nets </w:t>
            </w:r>
            <w:r w:rsidR="00F97544" w:rsidRPr="005A0032">
              <w:t xml:space="preserve">were </w:t>
            </w:r>
            <w:r w:rsidR="003165FB" w:rsidRPr="005A0032">
              <w:t xml:space="preserve">set </w:t>
            </w:r>
            <w:r w:rsidR="00F97544" w:rsidRPr="005A0032">
              <w:t xml:space="preserve">in water depths of 2–5 m </w:t>
            </w:r>
            <w:r w:rsidR="003165FB" w:rsidRPr="005A0032">
              <w:t xml:space="preserve">on the bottom of </w:t>
            </w:r>
            <w:r w:rsidR="00A746A6">
              <w:t xml:space="preserve">the </w:t>
            </w:r>
            <w:r w:rsidR="003165FB" w:rsidRPr="005A0032">
              <w:t>Guadalquivir</w:t>
            </w:r>
            <w:r w:rsidR="00A746A6" w:rsidRPr="005A0032">
              <w:t xml:space="preserve"> estuary</w:t>
            </w:r>
            <w:r w:rsidR="003165FB" w:rsidRPr="005A0032">
              <w:t xml:space="preserve">. Each line was composed of </w:t>
            </w:r>
            <w:r w:rsidR="005D5089" w:rsidRPr="005A0032">
              <w:t>six</w:t>
            </w:r>
            <w:r w:rsidR="003165FB" w:rsidRPr="005A0032">
              <w:t xml:space="preserve"> fyke nets attached to each other. At each fishing station</w:t>
            </w:r>
            <w:r w:rsidR="0076117F" w:rsidRPr="005A0032">
              <w:t xml:space="preserve"> (n=15)</w:t>
            </w:r>
            <w:r w:rsidR="003165FB" w:rsidRPr="005A0032">
              <w:t xml:space="preserve">, </w:t>
            </w:r>
            <w:r w:rsidR="005D5089" w:rsidRPr="005A0032">
              <w:t>four</w:t>
            </w:r>
            <w:r w:rsidR="003165FB" w:rsidRPr="005A0032">
              <w:t xml:space="preserve"> lines (total number of fyke nets = 24) were used. </w:t>
            </w:r>
            <w:r w:rsidR="00680E25" w:rsidRPr="005A0032">
              <w:t>Nets were emptied every 48 h</w:t>
            </w:r>
            <w:r w:rsidR="005D5089" w:rsidRPr="005A0032">
              <w:t xml:space="preserve">: this is the recommended frequency to </w:t>
            </w:r>
            <w:r w:rsidR="0076117F" w:rsidRPr="005A0032">
              <w:t xml:space="preserve">allow </w:t>
            </w:r>
            <w:r w:rsidR="00FC5980" w:rsidRPr="005A0032">
              <w:t>the release of accidental</w:t>
            </w:r>
            <w:r w:rsidR="0076117F" w:rsidRPr="005A0032">
              <w:t xml:space="preserve"> </w:t>
            </w:r>
            <w:r w:rsidR="00FC5980" w:rsidRPr="005A0032">
              <w:t>captures of native species and prevent algae</w:t>
            </w:r>
            <w:r w:rsidR="005D5089" w:rsidRPr="005A0032">
              <w:t xml:space="preserve"> </w:t>
            </w:r>
            <w:r w:rsidR="00FC5980" w:rsidRPr="005A0032">
              <w:t xml:space="preserve">from clogging the nets. </w:t>
            </w:r>
            <w:r w:rsidR="00A746A6">
              <w:t>Furthermore</w:t>
            </w:r>
            <w:r w:rsidR="00FC5980" w:rsidRPr="005A0032">
              <w:t>, if nets</w:t>
            </w:r>
            <w:r w:rsidR="005D5089" w:rsidRPr="005A0032">
              <w:t xml:space="preserve"> are l</w:t>
            </w:r>
            <w:r w:rsidR="00FC5980" w:rsidRPr="005A0032">
              <w:t xml:space="preserve">eft </w:t>
            </w:r>
            <w:r w:rsidR="00A746A6">
              <w:t xml:space="preserve">unchecked </w:t>
            </w:r>
            <w:r w:rsidR="00FC5980" w:rsidRPr="005A0032">
              <w:t xml:space="preserve">for longer, Chinese mitten crabs </w:t>
            </w:r>
            <w:r w:rsidR="005D5089" w:rsidRPr="005A0032">
              <w:t>can</w:t>
            </w:r>
            <w:r w:rsidR="00FC5980" w:rsidRPr="005A0032">
              <w:t xml:space="preserve"> destroy the nets and escape.</w:t>
            </w:r>
            <w:r w:rsidR="00BD3B76" w:rsidRPr="005A0032">
              <w:t xml:space="preserve"> Trapping involves professionals and volunteers.</w:t>
            </w:r>
          </w:p>
          <w:p w14:paraId="6AB468D0" w14:textId="77777777" w:rsidR="0008306E" w:rsidRPr="005A0032" w:rsidRDefault="0008306E" w:rsidP="00816A28"/>
          <w:p w14:paraId="693A4F8A" w14:textId="1B0320E3" w:rsidR="00346840" w:rsidRDefault="00ED7740" w:rsidP="00A2483D">
            <w:pPr>
              <w:rPr>
                <w:i/>
              </w:rPr>
            </w:pPr>
            <w:r w:rsidRPr="005A0032">
              <w:t xml:space="preserve">Crayfish traps used for </w:t>
            </w:r>
            <w:r w:rsidR="003B1E0C">
              <w:t>catching</w:t>
            </w:r>
            <w:r w:rsidR="003B1E0C" w:rsidRPr="005A0032">
              <w:t xml:space="preserve"> </w:t>
            </w:r>
            <w:r w:rsidR="00D01D69" w:rsidRPr="005A0032">
              <w:t xml:space="preserve">different crayfish species of Union concern can </w:t>
            </w:r>
            <w:r w:rsidR="003B1E0C">
              <w:t xml:space="preserve">also </w:t>
            </w:r>
            <w:r w:rsidR="00D01D69" w:rsidRPr="005A0032">
              <w:t xml:space="preserve">catch Chinese mitten crab. </w:t>
            </w:r>
            <w:r w:rsidR="00566386" w:rsidRPr="005A0032">
              <w:t>Vice versa</w:t>
            </w:r>
            <w:r w:rsidR="00D01D69" w:rsidRPr="005A0032">
              <w:t xml:space="preserve">, traps </w:t>
            </w:r>
            <w:r w:rsidR="003B1E0C">
              <w:t xml:space="preserve">used </w:t>
            </w:r>
            <w:r w:rsidR="00D01D69" w:rsidRPr="005A0032">
              <w:t>for crab</w:t>
            </w:r>
            <w:r w:rsidR="003B1E0C">
              <w:t>s</w:t>
            </w:r>
            <w:r w:rsidR="00D01D69" w:rsidRPr="005A0032">
              <w:t xml:space="preserve"> can </w:t>
            </w:r>
            <w:r w:rsidR="003B1E0C">
              <w:t xml:space="preserve">also </w:t>
            </w:r>
            <w:r w:rsidR="00D01D69" w:rsidRPr="005A0032">
              <w:t xml:space="preserve">catch </w:t>
            </w:r>
            <w:r w:rsidR="002572AE" w:rsidRPr="005A0032">
              <w:t xml:space="preserve">alien </w:t>
            </w:r>
            <w:r w:rsidR="00D01D69" w:rsidRPr="005A0032">
              <w:t>crayfish</w:t>
            </w:r>
            <w:r w:rsidR="005C4B98" w:rsidRPr="005A0032">
              <w:t>, fish, even coypu, sliders and frogs</w:t>
            </w:r>
            <w:r w:rsidR="002572AE" w:rsidRPr="005A0032">
              <w:t xml:space="preserve"> as bycatch (</w:t>
            </w:r>
            <w:r w:rsidR="003B1E0C">
              <w:t xml:space="preserve">author’s </w:t>
            </w:r>
            <w:r w:rsidR="002572AE" w:rsidRPr="005A0032">
              <w:t>pers.</w:t>
            </w:r>
            <w:r w:rsidR="003B1E0C">
              <w:t xml:space="preserve"> obs</w:t>
            </w:r>
            <w:r w:rsidR="002572AE" w:rsidRPr="005A0032">
              <w:t>.)</w:t>
            </w:r>
            <w:r w:rsidR="00D01D69" w:rsidRPr="005A0032">
              <w:t>.</w:t>
            </w:r>
            <w:r w:rsidRPr="005A0032">
              <w:t xml:space="preserve"> </w:t>
            </w:r>
          </w:p>
          <w:p w14:paraId="7921AACF" w14:textId="77777777" w:rsidR="006A5821" w:rsidRDefault="006A5821" w:rsidP="006A5821"/>
          <w:p w14:paraId="20D87F0B" w14:textId="3767499C" w:rsidR="006A5821" w:rsidRPr="005A0032" w:rsidRDefault="006A5821" w:rsidP="006A5821">
            <w:r w:rsidRPr="005A0032">
              <w:t xml:space="preserve">This measure can also be applied for early detection, </w:t>
            </w:r>
            <w:r w:rsidR="00903683">
              <w:t>rapid</w:t>
            </w:r>
            <w:r w:rsidRPr="005A0032">
              <w:t xml:space="preserve"> eradication (even if </w:t>
            </w:r>
            <w:r w:rsidR="00B25CE3">
              <w:t>rapid</w:t>
            </w:r>
            <w:r w:rsidRPr="005A0032">
              <w:t xml:space="preserve"> eradication of the species has never been reported) and management of</w:t>
            </w:r>
            <w:r w:rsidR="00B25CE3">
              <w:t xml:space="preserve"> established populations</w:t>
            </w:r>
            <w:r w:rsidRPr="005A0032">
              <w:t xml:space="preserve">. </w:t>
            </w:r>
          </w:p>
          <w:p w14:paraId="18F8D7F3" w14:textId="1676DE49" w:rsidR="005A0032" w:rsidRPr="005A0032" w:rsidRDefault="005A0032" w:rsidP="00A2483D">
            <w:pPr>
              <w:rPr>
                <w:i/>
              </w:rPr>
            </w:pPr>
          </w:p>
        </w:tc>
      </w:tr>
      <w:tr w:rsidR="00346840" w14:paraId="74CCE0B1" w14:textId="77777777" w:rsidTr="00A2483D">
        <w:trPr>
          <w:trHeight w:val="517"/>
        </w:trPr>
        <w:tc>
          <w:tcPr>
            <w:tcW w:w="3295" w:type="dxa"/>
            <w:tcBorders>
              <w:bottom w:val="single" w:sz="4" w:space="0" w:color="auto"/>
            </w:tcBorders>
            <w:shd w:val="clear" w:color="auto" w:fill="DBE5F1" w:themeFill="accent1" w:themeFillTint="33"/>
          </w:tcPr>
          <w:p w14:paraId="00D59C84" w14:textId="77777777" w:rsidR="00346840" w:rsidRDefault="00346840" w:rsidP="00A2483D">
            <w:pPr>
              <w:pStyle w:val="NoSpacing"/>
              <w:rPr>
                <w:b/>
              </w:rPr>
            </w:pPr>
            <w:r>
              <w:rPr>
                <w:b/>
              </w:rPr>
              <w:lastRenderedPageBreak/>
              <w:t>Scale of application</w:t>
            </w:r>
          </w:p>
          <w:p w14:paraId="1DE21719" w14:textId="77777777" w:rsidR="00346840" w:rsidRDefault="00346840" w:rsidP="00A2483D">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p w14:paraId="059CD4D5" w14:textId="77777777" w:rsidR="00346840" w:rsidRPr="00DE32F5" w:rsidRDefault="00346840" w:rsidP="00A2483D">
            <w:pPr>
              <w:pStyle w:val="NoSpacing"/>
              <w:rPr>
                <w:sz w:val="20"/>
              </w:rPr>
            </w:pPr>
          </w:p>
        </w:tc>
        <w:tc>
          <w:tcPr>
            <w:tcW w:w="10653" w:type="dxa"/>
            <w:tcBorders>
              <w:bottom w:val="single" w:sz="4" w:space="0" w:color="auto"/>
            </w:tcBorders>
          </w:tcPr>
          <w:p w14:paraId="6C9D9793" w14:textId="37010537" w:rsidR="00346840" w:rsidRPr="005A0032" w:rsidRDefault="00D050CD" w:rsidP="00AF27B5">
            <w:pPr>
              <w:rPr>
                <w:szCs w:val="20"/>
              </w:rPr>
            </w:pPr>
            <w:r>
              <w:rPr>
                <w:szCs w:val="20"/>
              </w:rPr>
              <w:t>The s</w:t>
            </w:r>
            <w:r w:rsidR="00B831CF" w:rsidRPr="005A0032">
              <w:rPr>
                <w:szCs w:val="20"/>
              </w:rPr>
              <w:t>cale of application is different, according to the water bodies or estuaries</w:t>
            </w:r>
            <w:r>
              <w:rPr>
                <w:szCs w:val="20"/>
              </w:rPr>
              <w:t xml:space="preserve"> being targeted</w:t>
            </w:r>
            <w:r w:rsidR="00B831CF" w:rsidRPr="005A0032">
              <w:rPr>
                <w:szCs w:val="20"/>
              </w:rPr>
              <w:t xml:space="preserve">. </w:t>
            </w:r>
            <w:r w:rsidR="00E21634" w:rsidRPr="005A0032">
              <w:rPr>
                <w:szCs w:val="20"/>
              </w:rPr>
              <w:t>Roughly, in Garcia-de-Lomas et al. (2010), each sampling station was 144 m</w:t>
            </w:r>
            <w:r w:rsidR="00E21634" w:rsidRPr="005A0032">
              <w:rPr>
                <w:szCs w:val="20"/>
                <w:vertAlign w:val="superscript"/>
              </w:rPr>
              <w:t>2</w:t>
            </w:r>
            <w:r w:rsidR="00223E34">
              <w:rPr>
                <w:szCs w:val="20"/>
              </w:rPr>
              <w:t>,</w:t>
            </w:r>
            <w:r w:rsidR="00035869">
              <w:rPr>
                <w:szCs w:val="20"/>
                <w:vertAlign w:val="superscript"/>
              </w:rPr>
              <w:t xml:space="preserve"> </w:t>
            </w:r>
            <w:r w:rsidR="00035869">
              <w:rPr>
                <w:szCs w:val="20"/>
              </w:rPr>
              <w:t>and sampling stations</w:t>
            </w:r>
            <w:r w:rsidR="00AF27B5">
              <w:rPr>
                <w:szCs w:val="20"/>
              </w:rPr>
              <w:t xml:space="preserve"> were distributed along </w:t>
            </w:r>
            <w:r w:rsidR="00223E34">
              <w:rPr>
                <w:szCs w:val="20"/>
              </w:rPr>
              <w:t>ca</w:t>
            </w:r>
            <w:r w:rsidR="00E34465">
              <w:rPr>
                <w:szCs w:val="20"/>
              </w:rPr>
              <w:t>.</w:t>
            </w:r>
            <w:r w:rsidR="00223E34">
              <w:rPr>
                <w:szCs w:val="20"/>
              </w:rPr>
              <w:t xml:space="preserve"> 108 km</w:t>
            </w:r>
            <w:r w:rsidR="00D81962" w:rsidRPr="005A0032">
              <w:rPr>
                <w:szCs w:val="20"/>
              </w:rPr>
              <w:t>.</w:t>
            </w:r>
          </w:p>
        </w:tc>
      </w:tr>
      <w:tr w:rsidR="00346840" w:rsidRPr="002B6463" w14:paraId="2363E85E" w14:textId="77777777" w:rsidTr="00A2483D">
        <w:trPr>
          <w:trHeight w:val="2222"/>
        </w:trPr>
        <w:tc>
          <w:tcPr>
            <w:tcW w:w="3295" w:type="dxa"/>
            <w:tcBorders>
              <w:top w:val="single" w:sz="4" w:space="0" w:color="auto"/>
            </w:tcBorders>
            <w:shd w:val="clear" w:color="auto" w:fill="DBE5F1" w:themeFill="accent1" w:themeFillTint="33"/>
          </w:tcPr>
          <w:p w14:paraId="72D4D950" w14:textId="5119C491" w:rsidR="00346840" w:rsidRPr="0039672E" w:rsidRDefault="00346840" w:rsidP="00A2483D">
            <w:pPr>
              <w:pStyle w:val="NoSpacing"/>
              <w:rPr>
                <w:b/>
              </w:rPr>
            </w:pPr>
            <w:r w:rsidRPr="0039672E">
              <w:rPr>
                <w:b/>
              </w:rPr>
              <w:lastRenderedPageBreak/>
              <w:t xml:space="preserve">Effectiveness of </w:t>
            </w:r>
            <w:r>
              <w:rPr>
                <w:b/>
              </w:rPr>
              <w:t xml:space="preserve">the </w:t>
            </w:r>
            <w:r w:rsidRPr="0039672E">
              <w:rPr>
                <w:b/>
              </w:rPr>
              <w:t>measure</w:t>
            </w:r>
          </w:p>
          <w:p w14:paraId="6AA1CB5E" w14:textId="77777777" w:rsidR="00346840" w:rsidRPr="0039672E" w:rsidRDefault="00346840" w:rsidP="00A2483D">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5C03D859" w14:textId="77777777" w:rsidR="00346840" w:rsidRDefault="00346840" w:rsidP="00A2483D">
            <w:pPr>
              <w:pStyle w:val="NoSpacing"/>
              <w:rPr>
                <w:sz w:val="20"/>
              </w:rPr>
            </w:pPr>
          </w:p>
          <w:p w14:paraId="1A8FAA32" w14:textId="77777777" w:rsidR="00346840" w:rsidRPr="00DE32F5" w:rsidRDefault="00346840" w:rsidP="00A2483D">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275"/>
              <w:gridCol w:w="426"/>
              <w:gridCol w:w="1275"/>
              <w:gridCol w:w="426"/>
              <w:gridCol w:w="1559"/>
              <w:gridCol w:w="425"/>
              <w:gridCol w:w="1418"/>
              <w:gridCol w:w="425"/>
            </w:tblGrid>
            <w:tr w:rsidR="008B4A4D" w14:paraId="3560E4A3" w14:textId="70B63D3B" w:rsidTr="003F77F5">
              <w:tc>
                <w:tcPr>
                  <w:tcW w:w="2116" w:type="dxa"/>
                </w:tcPr>
                <w:p w14:paraId="14810E2B" w14:textId="77777777" w:rsidR="008B4A4D" w:rsidRPr="002E17F6" w:rsidRDefault="008B4A4D" w:rsidP="00A2483D">
                  <w:pPr>
                    <w:pStyle w:val="NoSpacing"/>
                    <w:rPr>
                      <w:b/>
                      <w:i/>
                      <w:sz w:val="20"/>
                    </w:rPr>
                  </w:pPr>
                  <w:r>
                    <w:rPr>
                      <w:b/>
                      <w:i/>
                      <w:sz w:val="20"/>
                    </w:rPr>
                    <w:t>Effectiveness of measures</w:t>
                  </w:r>
                </w:p>
              </w:tc>
              <w:tc>
                <w:tcPr>
                  <w:tcW w:w="1275" w:type="dxa"/>
                </w:tcPr>
                <w:p w14:paraId="36093E78" w14:textId="77777777" w:rsidR="008B4A4D" w:rsidRDefault="008B4A4D" w:rsidP="00A2483D">
                  <w:pPr>
                    <w:pStyle w:val="NoSpacing"/>
                    <w:jc w:val="right"/>
                    <w:rPr>
                      <w:i/>
                      <w:sz w:val="20"/>
                    </w:rPr>
                  </w:pPr>
                  <w:r>
                    <w:rPr>
                      <w:i/>
                      <w:sz w:val="20"/>
                    </w:rPr>
                    <w:t>Effective</w:t>
                  </w:r>
                </w:p>
              </w:tc>
              <w:tc>
                <w:tcPr>
                  <w:tcW w:w="426" w:type="dxa"/>
                  <w:shd w:val="clear" w:color="auto" w:fill="DBE5F1" w:themeFill="accent1" w:themeFillTint="33"/>
                </w:tcPr>
                <w:p w14:paraId="1BAE59F0" w14:textId="77777777" w:rsidR="008B4A4D" w:rsidRDefault="008B4A4D" w:rsidP="003F77F5">
                  <w:pPr>
                    <w:pStyle w:val="NoSpacing"/>
                    <w:rPr>
                      <w:i/>
                      <w:sz w:val="20"/>
                    </w:rPr>
                  </w:pPr>
                </w:p>
              </w:tc>
              <w:tc>
                <w:tcPr>
                  <w:tcW w:w="1275" w:type="dxa"/>
                </w:tcPr>
                <w:p w14:paraId="0ABD0596" w14:textId="77777777" w:rsidR="008B4A4D" w:rsidRDefault="008B4A4D" w:rsidP="00A2483D">
                  <w:pPr>
                    <w:pStyle w:val="NoSpacing"/>
                    <w:jc w:val="right"/>
                    <w:rPr>
                      <w:i/>
                      <w:sz w:val="20"/>
                    </w:rPr>
                  </w:pPr>
                  <w:r>
                    <w:rPr>
                      <w:i/>
                      <w:sz w:val="20"/>
                    </w:rPr>
                    <w:t xml:space="preserve">Neutral </w:t>
                  </w:r>
                </w:p>
              </w:tc>
              <w:tc>
                <w:tcPr>
                  <w:tcW w:w="426" w:type="dxa"/>
                  <w:shd w:val="clear" w:color="auto" w:fill="DBE5F1" w:themeFill="accent1" w:themeFillTint="33"/>
                </w:tcPr>
                <w:p w14:paraId="108C0437" w14:textId="4A94458D" w:rsidR="008B4A4D" w:rsidRDefault="007526EE" w:rsidP="00A2483D">
                  <w:pPr>
                    <w:pStyle w:val="NoSpacing"/>
                    <w:jc w:val="right"/>
                    <w:rPr>
                      <w:i/>
                      <w:sz w:val="20"/>
                    </w:rPr>
                  </w:pPr>
                  <w:r>
                    <w:rPr>
                      <w:i/>
                      <w:sz w:val="20"/>
                    </w:rPr>
                    <w:t>X</w:t>
                  </w:r>
                </w:p>
              </w:tc>
              <w:tc>
                <w:tcPr>
                  <w:tcW w:w="1559" w:type="dxa"/>
                </w:tcPr>
                <w:p w14:paraId="668A78B6" w14:textId="77777777" w:rsidR="008B4A4D" w:rsidRDefault="008B4A4D" w:rsidP="00A2483D">
                  <w:pPr>
                    <w:pStyle w:val="NoSpacing"/>
                    <w:jc w:val="right"/>
                    <w:rPr>
                      <w:i/>
                      <w:sz w:val="20"/>
                    </w:rPr>
                  </w:pPr>
                  <w:r>
                    <w:rPr>
                      <w:i/>
                      <w:sz w:val="20"/>
                    </w:rPr>
                    <w:t>Ineffective</w:t>
                  </w:r>
                </w:p>
              </w:tc>
              <w:tc>
                <w:tcPr>
                  <w:tcW w:w="425" w:type="dxa"/>
                  <w:shd w:val="clear" w:color="auto" w:fill="DBE5F1" w:themeFill="accent1" w:themeFillTint="33"/>
                </w:tcPr>
                <w:p w14:paraId="6945C9F0" w14:textId="77777777" w:rsidR="008B4A4D" w:rsidRDefault="008B4A4D" w:rsidP="00A2483D">
                  <w:pPr>
                    <w:pStyle w:val="NoSpacing"/>
                    <w:rPr>
                      <w:i/>
                      <w:sz w:val="20"/>
                    </w:rPr>
                  </w:pPr>
                </w:p>
              </w:tc>
              <w:tc>
                <w:tcPr>
                  <w:tcW w:w="1418" w:type="dxa"/>
                  <w:shd w:val="clear" w:color="auto" w:fill="auto"/>
                </w:tcPr>
                <w:p w14:paraId="35C03B51" w14:textId="27933C09" w:rsidR="008B4A4D" w:rsidRDefault="008B4A4D" w:rsidP="00A2483D">
                  <w:pPr>
                    <w:pStyle w:val="NoSpacing"/>
                    <w:rPr>
                      <w:i/>
                      <w:sz w:val="20"/>
                    </w:rPr>
                  </w:pPr>
                  <w:r>
                    <w:rPr>
                      <w:i/>
                      <w:sz w:val="20"/>
                    </w:rPr>
                    <w:t>Unknown</w:t>
                  </w:r>
                </w:p>
              </w:tc>
              <w:tc>
                <w:tcPr>
                  <w:tcW w:w="425" w:type="dxa"/>
                  <w:shd w:val="clear" w:color="auto" w:fill="DBE5F1" w:themeFill="accent1" w:themeFillTint="33"/>
                </w:tcPr>
                <w:p w14:paraId="1A57F8FF" w14:textId="60F86ED1" w:rsidR="008B4A4D" w:rsidRDefault="008B4A4D" w:rsidP="00A2483D">
                  <w:pPr>
                    <w:pStyle w:val="NoSpacing"/>
                    <w:rPr>
                      <w:i/>
                      <w:sz w:val="20"/>
                    </w:rPr>
                  </w:pPr>
                </w:p>
              </w:tc>
            </w:tr>
          </w:tbl>
          <w:p w14:paraId="613022FF" w14:textId="77777777" w:rsidR="00346840" w:rsidRDefault="00346840" w:rsidP="00A2483D">
            <w:pPr>
              <w:pStyle w:val="NoSpacing"/>
              <w:rPr>
                <w:i/>
                <w:sz w:val="20"/>
              </w:rPr>
            </w:pPr>
          </w:p>
          <w:p w14:paraId="0EBB6C0D" w14:textId="77777777" w:rsidR="00346840" w:rsidRDefault="00346840" w:rsidP="00A2483D">
            <w:pPr>
              <w:pStyle w:val="NoSpacing"/>
              <w:rPr>
                <w:sz w:val="20"/>
              </w:rPr>
            </w:pPr>
            <w:r w:rsidRPr="00C856F5">
              <w:rPr>
                <w:i/>
                <w:sz w:val="20"/>
              </w:rPr>
              <w:t>Rationale</w:t>
            </w:r>
            <w:r>
              <w:rPr>
                <w:sz w:val="20"/>
              </w:rPr>
              <w:t>:</w:t>
            </w:r>
          </w:p>
          <w:p w14:paraId="0F7AC91E" w14:textId="5BBF60DB" w:rsidR="00346840" w:rsidRDefault="00D81962" w:rsidP="001F6BDC">
            <w:pPr>
              <w:pStyle w:val="NoSpacing"/>
            </w:pPr>
            <w:r w:rsidRPr="005A0032">
              <w:t xml:space="preserve">Contrasting results </w:t>
            </w:r>
            <w:r w:rsidR="007526EE" w:rsidRPr="005A0032">
              <w:t>are reported on trapping effectiveness</w:t>
            </w:r>
            <w:r w:rsidR="00EA433C" w:rsidRPr="005A0032">
              <w:t xml:space="preserve">. </w:t>
            </w:r>
            <w:r w:rsidR="00FE716B" w:rsidRPr="005A0032">
              <w:t xml:space="preserve">Caught crabs, especially during migration, could be </w:t>
            </w:r>
            <w:r w:rsidR="00C00FFC">
              <w:t xml:space="preserve">mostly </w:t>
            </w:r>
            <w:r w:rsidR="00FE716B" w:rsidRPr="005A0032">
              <w:t>males, thus a bias in sex and size of trapped animals can be found (Eberhardt et al., 2016). Moreover, as</w:t>
            </w:r>
            <w:r w:rsidR="00C00FFC">
              <w:t xml:space="preserve"> for</w:t>
            </w:r>
            <w:r w:rsidR="00FE716B" w:rsidRPr="005A0032">
              <w:t xml:space="preserve"> other IAS, </w:t>
            </w:r>
            <w:r w:rsidR="00C00FFC">
              <w:t xml:space="preserve">a </w:t>
            </w:r>
            <w:r w:rsidR="00FE716B" w:rsidRPr="005A0032">
              <w:t xml:space="preserve">“boom and bust” phenomenon can be observed, so sometimes the effect of trapping activity </w:t>
            </w:r>
            <w:r w:rsidR="00AF0D06" w:rsidRPr="005A0032">
              <w:t>cannot</w:t>
            </w:r>
            <w:r w:rsidR="00FE716B" w:rsidRPr="005A0032">
              <w:t xml:space="preserve"> be proved (Garcia-de-Lomas et al., 2010). </w:t>
            </w:r>
            <w:r w:rsidR="00EA433C" w:rsidRPr="005A0032">
              <w:t>T</w:t>
            </w:r>
            <w:r w:rsidR="007526EE" w:rsidRPr="005A0032">
              <w:t xml:space="preserve">raps </w:t>
            </w:r>
            <w:r w:rsidR="00C00FFC">
              <w:t>can</w:t>
            </w:r>
            <w:r w:rsidR="00C00FFC" w:rsidRPr="005A0032">
              <w:t xml:space="preserve"> </w:t>
            </w:r>
            <w:r w:rsidR="00EA433C" w:rsidRPr="005A0032">
              <w:t>be a</w:t>
            </w:r>
            <w:r w:rsidR="007C1A28" w:rsidRPr="005A0032">
              <w:t xml:space="preserve"> partly</w:t>
            </w:r>
            <w:r w:rsidR="007526EE" w:rsidRPr="005A0032">
              <w:t xml:space="preserve"> </w:t>
            </w:r>
            <w:r w:rsidR="00EA433C" w:rsidRPr="005A0032">
              <w:t xml:space="preserve">effective tool </w:t>
            </w:r>
            <w:r w:rsidR="007526EE" w:rsidRPr="005A0032">
              <w:t>to keep the population at a</w:t>
            </w:r>
            <w:r w:rsidR="001F6BDC" w:rsidRPr="005A0032">
              <w:t xml:space="preserve"> </w:t>
            </w:r>
            <w:r w:rsidR="007526EE" w:rsidRPr="005A0032">
              <w:t>low level</w:t>
            </w:r>
            <w:r w:rsidR="00EA433C" w:rsidRPr="005A0032">
              <w:t xml:space="preserve">, but </w:t>
            </w:r>
            <w:r w:rsidR="00C00FFC">
              <w:t>can</w:t>
            </w:r>
            <w:r w:rsidR="00EA433C" w:rsidRPr="005A0032">
              <w:t xml:space="preserve">not </w:t>
            </w:r>
            <w:r w:rsidR="00C00FFC">
              <w:t xml:space="preserve">be </w:t>
            </w:r>
            <w:r w:rsidR="00EA433C" w:rsidRPr="005A0032">
              <w:t>t</w:t>
            </w:r>
            <w:r w:rsidR="00BC6D16" w:rsidRPr="005A0032">
              <w:t>he only measure t</w:t>
            </w:r>
            <w:r w:rsidR="00EA433C" w:rsidRPr="005A0032">
              <w:t xml:space="preserve">o </w:t>
            </w:r>
            <w:r w:rsidR="00313783" w:rsidRPr="005A0032">
              <w:t>prevent spread</w:t>
            </w:r>
            <w:r w:rsidR="00C00FFC">
              <w:t>,</w:t>
            </w:r>
            <w:r w:rsidR="00313783" w:rsidRPr="005A0032">
              <w:t xml:space="preserve"> or </w:t>
            </w:r>
            <w:r w:rsidR="00EA433C" w:rsidRPr="005A0032">
              <w:t>eradicate</w:t>
            </w:r>
            <w:r w:rsidR="00C00FFC">
              <w:t>,</w:t>
            </w:r>
            <w:r w:rsidR="00EA433C" w:rsidRPr="005A0032">
              <w:t xml:space="preserve"> </w:t>
            </w:r>
            <w:r w:rsidR="00A463E6" w:rsidRPr="005A0032">
              <w:t>a population</w:t>
            </w:r>
            <w:r w:rsidR="001F6BDC" w:rsidRPr="005A0032">
              <w:t xml:space="preserve"> (Chinese Mitten Crab Working Group, 2003).</w:t>
            </w:r>
          </w:p>
          <w:p w14:paraId="472CF947" w14:textId="0FAD8959" w:rsidR="005A0032" w:rsidRPr="002B6463" w:rsidRDefault="005A0032" w:rsidP="001F6BDC">
            <w:pPr>
              <w:pStyle w:val="NoSpacing"/>
              <w:rPr>
                <w:sz w:val="20"/>
              </w:rPr>
            </w:pPr>
          </w:p>
        </w:tc>
      </w:tr>
      <w:tr w:rsidR="00346840" w14:paraId="04B95168" w14:textId="77777777" w:rsidTr="00A2483D">
        <w:tc>
          <w:tcPr>
            <w:tcW w:w="3295" w:type="dxa"/>
            <w:shd w:val="clear" w:color="auto" w:fill="DBE5F1" w:themeFill="accent1" w:themeFillTint="33"/>
          </w:tcPr>
          <w:p w14:paraId="4AD6343E" w14:textId="77777777" w:rsidR="00346840" w:rsidRPr="0039672E" w:rsidRDefault="00346840" w:rsidP="00A2483D">
            <w:pPr>
              <w:pStyle w:val="NoSpacing"/>
              <w:rPr>
                <w:b/>
              </w:rPr>
            </w:pPr>
            <w:r w:rsidRPr="0039672E">
              <w:rPr>
                <w:b/>
              </w:rPr>
              <w:t>Effort required</w:t>
            </w:r>
          </w:p>
          <w:p w14:paraId="169EFD0D" w14:textId="59CB18DB" w:rsidR="00346840" w:rsidRPr="002B6463" w:rsidRDefault="00346840" w:rsidP="00A2483D">
            <w:pPr>
              <w:pStyle w:val="NoSpacing"/>
              <w:rPr>
                <w:sz w:val="20"/>
              </w:rPr>
            </w:pPr>
            <w:r w:rsidRPr="00EA6987">
              <w:rPr>
                <w:sz w:val="20"/>
              </w:rPr>
              <w:t>e.g. period of time over which measure need</w:t>
            </w:r>
            <w:r w:rsidR="003165ED">
              <w:rPr>
                <w:sz w:val="20"/>
              </w:rPr>
              <w:t>s</w:t>
            </w:r>
            <w:r w:rsidRPr="00EA6987">
              <w:rPr>
                <w:sz w:val="20"/>
              </w:rPr>
              <w:t xml:space="preserve"> to be applied to have results</w:t>
            </w:r>
          </w:p>
        </w:tc>
        <w:tc>
          <w:tcPr>
            <w:tcW w:w="10653" w:type="dxa"/>
          </w:tcPr>
          <w:p w14:paraId="2B48CCC3" w14:textId="3E662F72" w:rsidR="00346840" w:rsidRDefault="001804A0" w:rsidP="001804A0">
            <w:pPr>
              <w:pStyle w:val="NoSpacing"/>
            </w:pPr>
            <w:r w:rsidRPr="005A0032">
              <w:t>Trapping devices can be applied year-round</w:t>
            </w:r>
            <w:r w:rsidR="008F6993" w:rsidRPr="005A0032">
              <w:t xml:space="preserve"> (for example biweekly per month</w:t>
            </w:r>
            <w:r w:rsidR="00D109AD" w:rsidRPr="005A0032">
              <w:t xml:space="preserve"> for detection</w:t>
            </w:r>
            <w:r w:rsidR="001945CD" w:rsidRPr="005A0032">
              <w:t>;</w:t>
            </w:r>
            <w:r w:rsidR="00192C18" w:rsidRPr="005A0032">
              <w:t xml:space="preserve"> </w:t>
            </w:r>
            <w:proofErr w:type="spellStart"/>
            <w:r w:rsidR="00192C18" w:rsidRPr="005A0032">
              <w:t>Abt</w:t>
            </w:r>
            <w:proofErr w:type="spellEnd"/>
            <w:r w:rsidR="00192C18" w:rsidRPr="005A0032">
              <w:t xml:space="preserve"> Associates Inc, 2008</w:t>
            </w:r>
            <w:r w:rsidR="008F6993" w:rsidRPr="005A0032">
              <w:t>)</w:t>
            </w:r>
            <w:r w:rsidRPr="005A0032">
              <w:t xml:space="preserve">, although trapping effort </w:t>
            </w:r>
            <w:r w:rsidR="00FA01B8">
              <w:t xml:space="preserve">should </w:t>
            </w:r>
            <w:r w:rsidRPr="005A0032">
              <w:t xml:space="preserve">increase during </w:t>
            </w:r>
            <w:r w:rsidR="00FA01B8">
              <w:t xml:space="preserve">the </w:t>
            </w:r>
            <w:r w:rsidRPr="005A0032">
              <w:t>spring and autumn migration</w:t>
            </w:r>
            <w:r w:rsidR="00AF27B5">
              <w:t>, depending</w:t>
            </w:r>
            <w:r w:rsidRPr="005A0032">
              <w:t xml:space="preserve"> </w:t>
            </w:r>
            <w:r w:rsidR="00AF27B5">
              <w:t xml:space="preserve">on </w:t>
            </w:r>
            <w:r w:rsidRPr="005A0032">
              <w:t>the specific locations of the traps (Garcia-de-Lomas et al., 2010)</w:t>
            </w:r>
            <w:r w:rsidR="00C85DCF" w:rsidRPr="005A0032">
              <w:t>.</w:t>
            </w:r>
            <w:r w:rsidR="00D050CD">
              <w:t xml:space="preserve"> </w:t>
            </w:r>
          </w:p>
          <w:p w14:paraId="6C5E9CFC" w14:textId="15D519BB" w:rsidR="00D050CD" w:rsidRPr="005A0032" w:rsidRDefault="00D050CD" w:rsidP="001804A0">
            <w:pPr>
              <w:pStyle w:val="NoSpacing"/>
            </w:pPr>
          </w:p>
        </w:tc>
      </w:tr>
      <w:tr w:rsidR="00346840" w14:paraId="79D2B268" w14:textId="77777777" w:rsidTr="00A2483D">
        <w:tc>
          <w:tcPr>
            <w:tcW w:w="3295" w:type="dxa"/>
            <w:shd w:val="clear" w:color="auto" w:fill="DBE5F1" w:themeFill="accent1" w:themeFillTint="33"/>
          </w:tcPr>
          <w:p w14:paraId="5474BEF3" w14:textId="77777777" w:rsidR="00346840" w:rsidRPr="0039672E" w:rsidRDefault="00346840" w:rsidP="00A2483D">
            <w:pPr>
              <w:pStyle w:val="NoSpacing"/>
              <w:rPr>
                <w:b/>
                <w:sz w:val="24"/>
                <w:vertAlign w:val="superscript"/>
              </w:rPr>
            </w:pPr>
            <w:r w:rsidRPr="0039672E">
              <w:rPr>
                <w:b/>
              </w:rPr>
              <w:t>Resources required</w:t>
            </w:r>
            <w:r>
              <w:rPr>
                <w:b/>
              </w:rPr>
              <w:t xml:space="preserve"> </w:t>
            </w:r>
            <w:r>
              <w:rPr>
                <w:b/>
                <w:vertAlign w:val="superscript"/>
              </w:rPr>
              <w:t>1</w:t>
            </w:r>
          </w:p>
          <w:p w14:paraId="1DCE44A6" w14:textId="77777777" w:rsidR="00346840" w:rsidRPr="002B6463" w:rsidRDefault="00346840" w:rsidP="00A2483D">
            <w:pPr>
              <w:pStyle w:val="NoSpacing"/>
              <w:rPr>
                <w:sz w:val="20"/>
              </w:rPr>
            </w:pPr>
            <w:r>
              <w:rPr>
                <w:sz w:val="20"/>
              </w:rPr>
              <w:t>e.g. cost, staff, equipment etc.</w:t>
            </w:r>
          </w:p>
        </w:tc>
        <w:tc>
          <w:tcPr>
            <w:tcW w:w="10653" w:type="dxa"/>
          </w:tcPr>
          <w:p w14:paraId="2DB8988F" w14:textId="77777777" w:rsidR="008747D4" w:rsidRDefault="00D81962" w:rsidP="00AC3CC9">
            <w:pPr>
              <w:pStyle w:val="NoSpacing"/>
            </w:pPr>
            <w:r w:rsidRPr="005A0032">
              <w:t>Costs include traps</w:t>
            </w:r>
            <w:r w:rsidR="00D32BB6" w:rsidRPr="005A0032">
              <w:t xml:space="preserve"> (and depend on the type of trap)</w:t>
            </w:r>
            <w:r w:rsidRPr="005A0032">
              <w:t>, bait, personnel</w:t>
            </w:r>
            <w:r w:rsidR="007526EE" w:rsidRPr="005A0032">
              <w:t xml:space="preserve"> </w:t>
            </w:r>
            <w:r w:rsidR="005F296C" w:rsidRPr="005A0032">
              <w:t>to be involved to set and check the traps</w:t>
            </w:r>
            <w:r w:rsidR="00A11F86" w:rsidRPr="005A0032">
              <w:t>, and disposal of caught animals</w:t>
            </w:r>
            <w:r w:rsidR="005F296C" w:rsidRPr="005A0032">
              <w:t>.</w:t>
            </w:r>
            <w:r w:rsidR="00CF3684" w:rsidRPr="005A0032">
              <w:t xml:space="preserve"> </w:t>
            </w:r>
            <w:r w:rsidR="002D2509" w:rsidRPr="005A0032">
              <w:t xml:space="preserve">The amount of required resources depends on </w:t>
            </w:r>
            <w:r w:rsidR="0026697D" w:rsidRPr="005A0032">
              <w:t xml:space="preserve">the </w:t>
            </w:r>
            <w:r w:rsidR="002D2509" w:rsidRPr="005A0032">
              <w:t xml:space="preserve">area of intervention. </w:t>
            </w:r>
          </w:p>
          <w:p w14:paraId="6208683F" w14:textId="36AD0225" w:rsidR="00A66D21" w:rsidRDefault="00D32BB6" w:rsidP="00AC3CC9">
            <w:pPr>
              <w:pStyle w:val="NoSpacing"/>
              <w:rPr>
                <w:rFonts w:cstheme="minorHAnsi"/>
              </w:rPr>
            </w:pPr>
            <w:r w:rsidRPr="005A0032">
              <w:t xml:space="preserve">A cylindrical net trap </w:t>
            </w:r>
            <w:r w:rsidR="008747D4">
              <w:t>for</w:t>
            </w:r>
            <w:r w:rsidRPr="005A0032">
              <w:t xml:space="preserve"> crayfish (</w:t>
            </w:r>
            <w:r w:rsidR="007F5685" w:rsidRPr="005A0032">
              <w:t xml:space="preserve">90x30 cm) </w:t>
            </w:r>
            <w:r w:rsidR="008747D4">
              <w:t>which,</w:t>
            </w:r>
            <w:r w:rsidR="008747D4" w:rsidRPr="005A0032">
              <w:t xml:space="preserve"> </w:t>
            </w:r>
            <w:r w:rsidR="00AC3CC9" w:rsidRPr="005A0032">
              <w:t>after modification</w:t>
            </w:r>
            <w:r w:rsidR="008747D4">
              <w:t>,</w:t>
            </w:r>
            <w:r w:rsidR="00AC3CC9" w:rsidRPr="005A0032">
              <w:t xml:space="preserve"> </w:t>
            </w:r>
            <w:r w:rsidR="009E5FA4" w:rsidRPr="005A0032">
              <w:t>could be used for crab</w:t>
            </w:r>
            <w:r w:rsidR="008747D4">
              <w:t>s,</w:t>
            </w:r>
            <w:r w:rsidR="009E5FA4" w:rsidRPr="005A0032">
              <w:t xml:space="preserve"> </w:t>
            </w:r>
            <w:r w:rsidR="008747D4" w:rsidRPr="005A0032">
              <w:t xml:space="preserve">costs </w:t>
            </w:r>
            <w:r w:rsidR="007F5685" w:rsidRPr="005A0032">
              <w:t xml:space="preserve">on average </w:t>
            </w:r>
            <w:r w:rsidR="000165CB" w:rsidRPr="005A0032">
              <w:rPr>
                <w:rFonts w:cstheme="minorHAnsi"/>
              </w:rPr>
              <w:t xml:space="preserve">€ </w:t>
            </w:r>
            <w:r w:rsidR="007F5685" w:rsidRPr="005A0032">
              <w:t xml:space="preserve">10 </w:t>
            </w:r>
            <w:r w:rsidR="00C85DCF" w:rsidRPr="005A0032">
              <w:rPr>
                <w:rFonts w:cstheme="minorHAnsi"/>
              </w:rPr>
              <w:t>(</w:t>
            </w:r>
            <w:r w:rsidR="008747D4">
              <w:rPr>
                <w:rFonts w:cstheme="minorHAnsi"/>
              </w:rPr>
              <w:t xml:space="preserve">author’s </w:t>
            </w:r>
            <w:r w:rsidR="00C85DCF" w:rsidRPr="005A0032">
              <w:rPr>
                <w:rFonts w:cstheme="minorHAnsi"/>
              </w:rPr>
              <w:t xml:space="preserve">pers. </w:t>
            </w:r>
            <w:r w:rsidR="008747D4">
              <w:rPr>
                <w:rFonts w:cstheme="minorHAnsi"/>
              </w:rPr>
              <w:t>obs</w:t>
            </w:r>
            <w:r w:rsidR="00C85DCF" w:rsidRPr="005A0032">
              <w:rPr>
                <w:rFonts w:cstheme="minorHAnsi"/>
              </w:rPr>
              <w:t>.)</w:t>
            </w:r>
            <w:r w:rsidR="009E5FA4" w:rsidRPr="005A0032">
              <w:t>; a fyke net</w:t>
            </w:r>
            <w:r w:rsidR="00F9134E" w:rsidRPr="005A0032">
              <w:t xml:space="preserve"> of around 6</w:t>
            </w:r>
            <w:r w:rsidR="00C85DCF" w:rsidRPr="005A0032">
              <w:t xml:space="preserve">x1m (similar to </w:t>
            </w:r>
            <w:r w:rsidR="008747D4">
              <w:t>those</w:t>
            </w:r>
            <w:r w:rsidR="00C85DCF" w:rsidRPr="005A0032">
              <w:t xml:space="preserve"> used by Garcia-de-Lomas et al. </w:t>
            </w:r>
            <w:r w:rsidR="008747D4">
              <w:t>(</w:t>
            </w:r>
            <w:r w:rsidR="00C85DCF" w:rsidRPr="005A0032">
              <w:t>2010</w:t>
            </w:r>
            <w:r w:rsidR="008747D4">
              <w:t>)</w:t>
            </w:r>
            <w:r w:rsidR="00C85DCF" w:rsidRPr="005A0032">
              <w:t xml:space="preserve">) </w:t>
            </w:r>
            <w:r w:rsidR="00127CF0" w:rsidRPr="005A0032">
              <w:t xml:space="preserve">can cost between </w:t>
            </w:r>
            <w:r w:rsidR="000165CB" w:rsidRPr="005A0032">
              <w:t xml:space="preserve">€ </w:t>
            </w:r>
            <w:r w:rsidR="00127CF0" w:rsidRPr="005A0032">
              <w:t xml:space="preserve">440 and </w:t>
            </w:r>
            <w:r w:rsidR="00682ECD" w:rsidRPr="005A0032">
              <w:t>800</w:t>
            </w:r>
            <w:r w:rsidR="008747D4">
              <w:rPr>
                <w:rStyle w:val="FootnoteReference"/>
              </w:rPr>
              <w:footnoteReference w:id="17"/>
            </w:r>
            <w:r w:rsidR="00A66D21" w:rsidRPr="005A0032">
              <w:t xml:space="preserve">. </w:t>
            </w:r>
            <w:r w:rsidR="00E77B31" w:rsidRPr="005A0032">
              <w:t xml:space="preserve">Bait </w:t>
            </w:r>
            <w:r w:rsidR="00E83A4E" w:rsidRPr="005A0032">
              <w:t>is cheap</w:t>
            </w:r>
            <w:r w:rsidR="004E4182">
              <w:t>,</w:t>
            </w:r>
            <w:r w:rsidR="00E83A4E" w:rsidRPr="005A0032">
              <w:t xml:space="preserve"> e.g. </w:t>
            </w:r>
            <w:r w:rsidR="000165CB" w:rsidRPr="005A0032">
              <w:rPr>
                <w:rFonts w:cstheme="minorHAnsi"/>
              </w:rPr>
              <w:t xml:space="preserve">€ </w:t>
            </w:r>
            <w:r w:rsidR="00E83A4E" w:rsidRPr="005A0032">
              <w:t xml:space="preserve">0.23 </w:t>
            </w:r>
            <w:r w:rsidR="00E83A4E" w:rsidRPr="005A0032">
              <w:rPr>
                <w:rFonts w:cstheme="minorHAnsi"/>
              </w:rPr>
              <w:t>for cat food</w:t>
            </w:r>
            <w:r w:rsidR="00A24DBD" w:rsidRPr="005A0032">
              <w:rPr>
                <w:rFonts w:cstheme="minorHAnsi"/>
              </w:rPr>
              <w:t xml:space="preserve"> used in crayfish traps </w:t>
            </w:r>
            <w:r w:rsidR="004E4182">
              <w:rPr>
                <w:rFonts w:cstheme="minorHAnsi"/>
              </w:rPr>
              <w:t xml:space="preserve">(author’s </w:t>
            </w:r>
            <w:r w:rsidR="00A24DBD" w:rsidRPr="005A0032">
              <w:rPr>
                <w:rFonts w:cstheme="minorHAnsi"/>
              </w:rPr>
              <w:t>pers.</w:t>
            </w:r>
            <w:r w:rsidR="004E4182">
              <w:rPr>
                <w:rFonts w:cstheme="minorHAnsi"/>
              </w:rPr>
              <w:t xml:space="preserve"> obs</w:t>
            </w:r>
            <w:r w:rsidR="00A24DBD" w:rsidRPr="005A0032">
              <w:rPr>
                <w:rFonts w:cstheme="minorHAnsi"/>
              </w:rPr>
              <w:t xml:space="preserve">.). </w:t>
            </w:r>
            <w:r w:rsidR="00172E02" w:rsidRPr="005A0032">
              <w:rPr>
                <w:rFonts w:cstheme="minorHAnsi"/>
              </w:rPr>
              <w:t>Per year</w:t>
            </w:r>
            <w:r w:rsidR="00720F4A" w:rsidRPr="005A0032">
              <w:rPr>
                <w:rFonts w:cstheme="minorHAnsi"/>
              </w:rPr>
              <w:t xml:space="preserve">, </w:t>
            </w:r>
            <w:r w:rsidR="00172E02" w:rsidRPr="005A0032">
              <w:rPr>
                <w:rFonts w:cstheme="minorHAnsi"/>
              </w:rPr>
              <w:t xml:space="preserve">the </w:t>
            </w:r>
            <w:r w:rsidR="00752C0F" w:rsidRPr="005A0032">
              <w:rPr>
                <w:rFonts w:cstheme="minorHAnsi"/>
              </w:rPr>
              <w:t xml:space="preserve">estimated </w:t>
            </w:r>
            <w:r w:rsidR="00172E02" w:rsidRPr="005A0032">
              <w:rPr>
                <w:rFonts w:cstheme="minorHAnsi"/>
              </w:rPr>
              <w:t>cost o</w:t>
            </w:r>
            <w:r w:rsidR="00752C0F" w:rsidRPr="005A0032">
              <w:rPr>
                <w:rFonts w:cstheme="minorHAnsi"/>
              </w:rPr>
              <w:t xml:space="preserve">f </w:t>
            </w:r>
            <w:r w:rsidR="00720F4A" w:rsidRPr="005A0032">
              <w:rPr>
                <w:rFonts w:cstheme="minorHAnsi"/>
              </w:rPr>
              <w:t>a</w:t>
            </w:r>
            <w:r w:rsidR="00A24DBD" w:rsidRPr="005A0032">
              <w:rPr>
                <w:rFonts w:cstheme="minorHAnsi"/>
              </w:rPr>
              <w:t xml:space="preserve"> dedicate</w:t>
            </w:r>
            <w:r w:rsidR="00752C0F" w:rsidRPr="005A0032">
              <w:rPr>
                <w:rFonts w:cstheme="minorHAnsi"/>
              </w:rPr>
              <w:t>d</w:t>
            </w:r>
            <w:r w:rsidR="00A24DBD" w:rsidRPr="005A0032">
              <w:rPr>
                <w:rFonts w:cstheme="minorHAnsi"/>
              </w:rPr>
              <w:t xml:space="preserve"> person</w:t>
            </w:r>
            <w:r w:rsidR="004E4182">
              <w:rPr>
                <w:rFonts w:cstheme="minorHAnsi"/>
              </w:rPr>
              <w:t>,</w:t>
            </w:r>
            <w:r w:rsidR="00720F4A" w:rsidRPr="005A0032">
              <w:rPr>
                <w:rFonts w:cstheme="minorHAnsi"/>
              </w:rPr>
              <w:t xml:space="preserve"> plus travel to reach the </w:t>
            </w:r>
            <w:r w:rsidR="00172E02" w:rsidRPr="005A0032">
              <w:rPr>
                <w:rFonts w:cstheme="minorHAnsi"/>
              </w:rPr>
              <w:t>sampling area</w:t>
            </w:r>
            <w:r w:rsidR="00752C0F" w:rsidRPr="005A0032">
              <w:rPr>
                <w:rFonts w:cstheme="minorHAnsi"/>
              </w:rPr>
              <w:t>s</w:t>
            </w:r>
            <w:r w:rsidR="004E4182">
              <w:rPr>
                <w:rFonts w:cstheme="minorHAnsi"/>
              </w:rPr>
              <w:t>,</w:t>
            </w:r>
            <w:r w:rsidR="00172E02" w:rsidRPr="005A0032">
              <w:rPr>
                <w:rFonts w:cstheme="minorHAnsi"/>
              </w:rPr>
              <w:t xml:space="preserve"> could</w:t>
            </w:r>
            <w:r w:rsidR="00BF1EA2" w:rsidRPr="005A0032">
              <w:rPr>
                <w:rFonts w:cstheme="minorHAnsi"/>
              </w:rPr>
              <w:t xml:space="preserve"> be around </w:t>
            </w:r>
            <w:r w:rsidR="000165CB" w:rsidRPr="005A0032">
              <w:rPr>
                <w:rFonts w:cstheme="minorHAnsi"/>
              </w:rPr>
              <w:t xml:space="preserve">€ </w:t>
            </w:r>
            <w:r w:rsidR="00BF1EA2" w:rsidRPr="005A0032">
              <w:rPr>
                <w:rFonts w:cstheme="minorHAnsi"/>
              </w:rPr>
              <w:t xml:space="preserve">30,000 </w:t>
            </w:r>
            <w:r w:rsidR="001B00E6" w:rsidRPr="005A0032">
              <w:rPr>
                <w:rFonts w:cstheme="minorHAnsi"/>
              </w:rPr>
              <w:t>(</w:t>
            </w:r>
            <w:r w:rsidR="004E4182">
              <w:rPr>
                <w:rFonts w:cstheme="minorHAnsi"/>
              </w:rPr>
              <w:t xml:space="preserve">author’s </w:t>
            </w:r>
            <w:r w:rsidR="001B00E6" w:rsidRPr="005A0032">
              <w:rPr>
                <w:rFonts w:cstheme="minorHAnsi"/>
              </w:rPr>
              <w:t>pers.</w:t>
            </w:r>
            <w:r w:rsidR="004E4182">
              <w:rPr>
                <w:rFonts w:cstheme="minorHAnsi"/>
              </w:rPr>
              <w:t xml:space="preserve"> obs</w:t>
            </w:r>
            <w:r w:rsidR="001B00E6" w:rsidRPr="005A0032">
              <w:rPr>
                <w:rFonts w:cstheme="minorHAnsi"/>
              </w:rPr>
              <w:t>.).</w:t>
            </w:r>
          </w:p>
          <w:p w14:paraId="0D2C5C04" w14:textId="1E6D4BFA" w:rsidR="005A0032" w:rsidRPr="005A0032" w:rsidRDefault="005A0032" w:rsidP="00AC3CC9">
            <w:pPr>
              <w:pStyle w:val="NoSpacing"/>
            </w:pPr>
          </w:p>
        </w:tc>
      </w:tr>
      <w:tr w:rsidR="00346840" w:rsidRPr="002B6463" w14:paraId="01FEA511" w14:textId="77777777" w:rsidTr="00A2483D">
        <w:tc>
          <w:tcPr>
            <w:tcW w:w="3295" w:type="dxa"/>
            <w:shd w:val="clear" w:color="auto" w:fill="DBE5F1" w:themeFill="accent1" w:themeFillTint="33"/>
          </w:tcPr>
          <w:p w14:paraId="23133F63" w14:textId="77777777" w:rsidR="00346840" w:rsidRPr="0039672E" w:rsidRDefault="00346840" w:rsidP="00A2483D">
            <w:pPr>
              <w:pStyle w:val="NoSpacing"/>
              <w:rPr>
                <w:b/>
              </w:rPr>
            </w:pPr>
            <w:r w:rsidRPr="0039672E">
              <w:rPr>
                <w:b/>
              </w:rPr>
              <w:t>Side effects (incl. potential)</w:t>
            </w:r>
            <w:r>
              <w:rPr>
                <w:b/>
              </w:rPr>
              <w:t xml:space="preserve"> – both positive and negative</w:t>
            </w:r>
          </w:p>
          <w:p w14:paraId="34737954" w14:textId="77777777" w:rsidR="00346840" w:rsidRDefault="00346840" w:rsidP="00A2483D">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4D02667A" w14:textId="77777777" w:rsidR="00346840" w:rsidRDefault="00346840" w:rsidP="00A2483D">
            <w:pPr>
              <w:pStyle w:val="NoSpacing"/>
              <w:rPr>
                <w:b/>
              </w:rPr>
            </w:pPr>
          </w:p>
          <w:p w14:paraId="702243CA" w14:textId="77777777" w:rsidR="00346840" w:rsidRPr="0039672E" w:rsidRDefault="00346840" w:rsidP="00A2483D">
            <w:pPr>
              <w:pStyle w:val="NoSpacing"/>
              <w:rPr>
                <w:b/>
              </w:rPr>
            </w:pPr>
            <w:r>
              <w:rPr>
                <w:sz w:val="20"/>
              </w:rPr>
              <w:t xml:space="preserve">For each of the side effect types please select one of the impact categories (with an ‘X’), and provide a </w:t>
            </w:r>
            <w:r>
              <w:rPr>
                <w:sz w:val="20"/>
              </w:rPr>
              <w:lastRenderedPageBreak/>
              <w:t>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38E81826" w14:textId="77777777" w:rsidTr="00A2483D">
              <w:tc>
                <w:tcPr>
                  <w:tcW w:w="2116" w:type="dxa"/>
                </w:tcPr>
                <w:p w14:paraId="6D8F84AE" w14:textId="77777777" w:rsidR="00346840" w:rsidRPr="002E17F6" w:rsidRDefault="00346840" w:rsidP="00A2483D">
                  <w:pPr>
                    <w:pStyle w:val="NoSpacing"/>
                    <w:rPr>
                      <w:b/>
                      <w:i/>
                      <w:sz w:val="20"/>
                    </w:rPr>
                  </w:pPr>
                  <w:r w:rsidRPr="002E17F6">
                    <w:rPr>
                      <w:b/>
                      <w:i/>
                      <w:sz w:val="20"/>
                    </w:rPr>
                    <w:lastRenderedPageBreak/>
                    <w:t>Environmental</w:t>
                  </w:r>
                  <w:r>
                    <w:rPr>
                      <w:b/>
                      <w:i/>
                      <w:sz w:val="20"/>
                    </w:rPr>
                    <w:t xml:space="preserve"> effects</w:t>
                  </w:r>
                </w:p>
              </w:tc>
              <w:tc>
                <w:tcPr>
                  <w:tcW w:w="1701" w:type="dxa"/>
                </w:tcPr>
                <w:p w14:paraId="35E2016C"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3A5D499A" w14:textId="77777777" w:rsidR="00346840" w:rsidRDefault="00346840" w:rsidP="00A2483D">
                  <w:pPr>
                    <w:pStyle w:val="NoSpacing"/>
                    <w:jc w:val="right"/>
                    <w:rPr>
                      <w:i/>
                      <w:sz w:val="20"/>
                    </w:rPr>
                  </w:pPr>
                </w:p>
              </w:tc>
              <w:tc>
                <w:tcPr>
                  <w:tcW w:w="2268" w:type="dxa"/>
                </w:tcPr>
                <w:p w14:paraId="27DD69B8"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742D8A56" w14:textId="7394FA04" w:rsidR="00346840" w:rsidRDefault="007D3985" w:rsidP="00A2483D">
                  <w:pPr>
                    <w:pStyle w:val="NoSpacing"/>
                    <w:jc w:val="right"/>
                    <w:rPr>
                      <w:i/>
                      <w:sz w:val="20"/>
                    </w:rPr>
                  </w:pPr>
                  <w:r>
                    <w:rPr>
                      <w:i/>
                      <w:sz w:val="20"/>
                    </w:rPr>
                    <w:t>X</w:t>
                  </w:r>
                </w:p>
              </w:tc>
              <w:tc>
                <w:tcPr>
                  <w:tcW w:w="2002" w:type="dxa"/>
                </w:tcPr>
                <w:p w14:paraId="122104EC"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17C698FE" w14:textId="77777777" w:rsidR="00346840" w:rsidRDefault="00346840" w:rsidP="00A2483D">
                  <w:pPr>
                    <w:pStyle w:val="NoSpacing"/>
                    <w:rPr>
                      <w:i/>
                      <w:sz w:val="20"/>
                    </w:rPr>
                  </w:pPr>
                </w:p>
              </w:tc>
            </w:tr>
            <w:tr w:rsidR="00346840" w14:paraId="4BA24D8D" w14:textId="77777777" w:rsidTr="00A2483D">
              <w:tc>
                <w:tcPr>
                  <w:tcW w:w="2116" w:type="dxa"/>
                </w:tcPr>
                <w:p w14:paraId="3AF33568" w14:textId="77777777" w:rsidR="00346840" w:rsidRPr="002E17F6" w:rsidRDefault="00346840" w:rsidP="00A2483D">
                  <w:pPr>
                    <w:pStyle w:val="NoSpacing"/>
                    <w:rPr>
                      <w:b/>
                      <w:i/>
                      <w:sz w:val="20"/>
                    </w:rPr>
                  </w:pPr>
                  <w:r w:rsidRPr="002E17F6">
                    <w:rPr>
                      <w:b/>
                      <w:i/>
                      <w:sz w:val="20"/>
                    </w:rPr>
                    <w:t>Social</w:t>
                  </w:r>
                  <w:r>
                    <w:rPr>
                      <w:b/>
                      <w:i/>
                      <w:sz w:val="20"/>
                    </w:rPr>
                    <w:t xml:space="preserve"> effects</w:t>
                  </w:r>
                </w:p>
              </w:tc>
              <w:tc>
                <w:tcPr>
                  <w:tcW w:w="1701" w:type="dxa"/>
                </w:tcPr>
                <w:p w14:paraId="1F54BB30"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109DE334" w14:textId="77777777" w:rsidR="00346840" w:rsidRDefault="00346840" w:rsidP="00A2483D">
                  <w:pPr>
                    <w:pStyle w:val="NoSpacing"/>
                    <w:jc w:val="right"/>
                    <w:rPr>
                      <w:i/>
                      <w:sz w:val="20"/>
                    </w:rPr>
                  </w:pPr>
                </w:p>
              </w:tc>
              <w:tc>
                <w:tcPr>
                  <w:tcW w:w="2268" w:type="dxa"/>
                </w:tcPr>
                <w:p w14:paraId="1421EF4D"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74E6134B" w14:textId="46AC0C56" w:rsidR="00346840" w:rsidRDefault="00D81962" w:rsidP="00A2483D">
                  <w:pPr>
                    <w:pStyle w:val="NoSpacing"/>
                    <w:jc w:val="right"/>
                    <w:rPr>
                      <w:i/>
                      <w:sz w:val="20"/>
                    </w:rPr>
                  </w:pPr>
                  <w:r>
                    <w:rPr>
                      <w:i/>
                      <w:sz w:val="20"/>
                    </w:rPr>
                    <w:t>X</w:t>
                  </w:r>
                </w:p>
              </w:tc>
              <w:tc>
                <w:tcPr>
                  <w:tcW w:w="2002" w:type="dxa"/>
                </w:tcPr>
                <w:p w14:paraId="397F1889"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5BDD1603" w14:textId="77777777" w:rsidR="00346840" w:rsidRDefault="00346840" w:rsidP="00A2483D">
                  <w:pPr>
                    <w:pStyle w:val="NoSpacing"/>
                    <w:rPr>
                      <w:i/>
                      <w:sz w:val="20"/>
                    </w:rPr>
                  </w:pPr>
                </w:p>
              </w:tc>
            </w:tr>
            <w:tr w:rsidR="00346840" w14:paraId="285EBF6F" w14:textId="77777777" w:rsidTr="00A2483D">
              <w:tc>
                <w:tcPr>
                  <w:tcW w:w="2116" w:type="dxa"/>
                </w:tcPr>
                <w:p w14:paraId="2C85F99C" w14:textId="77777777" w:rsidR="00346840" w:rsidRPr="002E17F6" w:rsidRDefault="00346840" w:rsidP="00A2483D">
                  <w:pPr>
                    <w:pStyle w:val="NoSpacing"/>
                    <w:rPr>
                      <w:b/>
                      <w:i/>
                      <w:sz w:val="20"/>
                    </w:rPr>
                  </w:pPr>
                  <w:r w:rsidRPr="002E17F6">
                    <w:rPr>
                      <w:b/>
                      <w:i/>
                      <w:sz w:val="20"/>
                    </w:rPr>
                    <w:t>Economic</w:t>
                  </w:r>
                  <w:r>
                    <w:rPr>
                      <w:b/>
                      <w:i/>
                      <w:sz w:val="20"/>
                    </w:rPr>
                    <w:t xml:space="preserve"> effects</w:t>
                  </w:r>
                </w:p>
              </w:tc>
              <w:tc>
                <w:tcPr>
                  <w:tcW w:w="1701" w:type="dxa"/>
                </w:tcPr>
                <w:p w14:paraId="2AC591EA" w14:textId="77777777" w:rsidR="00346840" w:rsidRDefault="00346840" w:rsidP="00A2483D">
                  <w:pPr>
                    <w:pStyle w:val="NoSpacing"/>
                    <w:jc w:val="right"/>
                    <w:rPr>
                      <w:i/>
                      <w:sz w:val="20"/>
                    </w:rPr>
                  </w:pPr>
                  <w:r>
                    <w:rPr>
                      <w:i/>
                      <w:sz w:val="20"/>
                    </w:rPr>
                    <w:t>Positive</w:t>
                  </w:r>
                </w:p>
              </w:tc>
              <w:tc>
                <w:tcPr>
                  <w:tcW w:w="425" w:type="dxa"/>
                  <w:shd w:val="clear" w:color="auto" w:fill="DBE5F1" w:themeFill="accent1" w:themeFillTint="33"/>
                </w:tcPr>
                <w:p w14:paraId="787B9958" w14:textId="77777777" w:rsidR="00346840" w:rsidRDefault="00346840" w:rsidP="00A2483D">
                  <w:pPr>
                    <w:pStyle w:val="NoSpacing"/>
                    <w:jc w:val="right"/>
                    <w:rPr>
                      <w:i/>
                      <w:sz w:val="20"/>
                    </w:rPr>
                  </w:pPr>
                </w:p>
              </w:tc>
              <w:tc>
                <w:tcPr>
                  <w:tcW w:w="2268" w:type="dxa"/>
                </w:tcPr>
                <w:p w14:paraId="38B6AEEB"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53614137" w14:textId="35486B48" w:rsidR="00346840" w:rsidRDefault="007D3985" w:rsidP="00A2483D">
                  <w:pPr>
                    <w:pStyle w:val="NoSpacing"/>
                    <w:jc w:val="right"/>
                    <w:rPr>
                      <w:i/>
                      <w:sz w:val="20"/>
                    </w:rPr>
                  </w:pPr>
                  <w:r>
                    <w:rPr>
                      <w:i/>
                      <w:sz w:val="20"/>
                    </w:rPr>
                    <w:t>X</w:t>
                  </w:r>
                </w:p>
              </w:tc>
              <w:tc>
                <w:tcPr>
                  <w:tcW w:w="2002" w:type="dxa"/>
                </w:tcPr>
                <w:p w14:paraId="550FBEA2" w14:textId="77777777" w:rsidR="00346840" w:rsidRDefault="00346840" w:rsidP="00A2483D">
                  <w:pPr>
                    <w:pStyle w:val="NoSpacing"/>
                    <w:jc w:val="right"/>
                    <w:rPr>
                      <w:i/>
                      <w:sz w:val="20"/>
                    </w:rPr>
                  </w:pPr>
                  <w:r>
                    <w:rPr>
                      <w:i/>
                      <w:sz w:val="20"/>
                    </w:rPr>
                    <w:t>Negative</w:t>
                  </w:r>
                </w:p>
              </w:tc>
              <w:tc>
                <w:tcPr>
                  <w:tcW w:w="408" w:type="dxa"/>
                  <w:shd w:val="clear" w:color="auto" w:fill="DBE5F1" w:themeFill="accent1" w:themeFillTint="33"/>
                </w:tcPr>
                <w:p w14:paraId="58113D05" w14:textId="77777777" w:rsidR="00346840" w:rsidRDefault="00346840" w:rsidP="00A2483D">
                  <w:pPr>
                    <w:pStyle w:val="NoSpacing"/>
                    <w:rPr>
                      <w:i/>
                      <w:sz w:val="20"/>
                    </w:rPr>
                  </w:pPr>
                </w:p>
              </w:tc>
            </w:tr>
          </w:tbl>
          <w:p w14:paraId="55E2DE43" w14:textId="77777777" w:rsidR="00346840" w:rsidRDefault="00346840" w:rsidP="00A2483D">
            <w:pPr>
              <w:pStyle w:val="NoSpacing"/>
              <w:rPr>
                <w:i/>
                <w:sz w:val="20"/>
              </w:rPr>
            </w:pPr>
          </w:p>
          <w:p w14:paraId="7B75A17A" w14:textId="77777777" w:rsidR="00346840" w:rsidRDefault="00346840" w:rsidP="00A2483D">
            <w:pPr>
              <w:pStyle w:val="NoSpacing"/>
              <w:rPr>
                <w:sz w:val="20"/>
              </w:rPr>
            </w:pPr>
            <w:r w:rsidRPr="00C856F5">
              <w:rPr>
                <w:i/>
                <w:sz w:val="20"/>
              </w:rPr>
              <w:t>Rationale</w:t>
            </w:r>
            <w:r>
              <w:rPr>
                <w:sz w:val="20"/>
              </w:rPr>
              <w:t>:</w:t>
            </w:r>
          </w:p>
          <w:p w14:paraId="6AC0D029" w14:textId="0F0244EF" w:rsidR="00346840" w:rsidRPr="002B6463" w:rsidRDefault="00000DC1" w:rsidP="00AF27B5">
            <w:pPr>
              <w:pStyle w:val="NoSpacing"/>
              <w:rPr>
                <w:sz w:val="20"/>
              </w:rPr>
            </w:pPr>
            <w:r w:rsidRPr="005A0032">
              <w:t xml:space="preserve">Traps or nets </w:t>
            </w:r>
            <w:r w:rsidR="00AF4857" w:rsidRPr="005A0032">
              <w:t xml:space="preserve">have the potential </w:t>
            </w:r>
            <w:r w:rsidR="001470F1">
              <w:t>to</w:t>
            </w:r>
            <w:r w:rsidR="001470F1" w:rsidRPr="005A0032">
              <w:t xml:space="preserve"> </w:t>
            </w:r>
            <w:r w:rsidR="00186C45" w:rsidRPr="005A0032">
              <w:t>bycatch non-target species</w:t>
            </w:r>
            <w:r w:rsidR="007D3985" w:rsidRPr="005A0032">
              <w:t xml:space="preserve">. </w:t>
            </w:r>
            <w:r w:rsidR="008575B6" w:rsidRPr="005A0032">
              <w:t xml:space="preserve">However, as they are not lethal traps, non-target animals can be let out again, therefore limiting negative effects. </w:t>
            </w:r>
            <w:r w:rsidR="007D3985" w:rsidRPr="005A0032">
              <w:t xml:space="preserve">The frequency of emptying the traps is </w:t>
            </w:r>
            <w:r w:rsidR="008575B6" w:rsidRPr="005A0032">
              <w:t xml:space="preserve">also </w:t>
            </w:r>
            <w:r w:rsidR="007D3985" w:rsidRPr="005A0032">
              <w:t>crucial to minimi</w:t>
            </w:r>
            <w:r w:rsidR="001470F1">
              <w:t>s</w:t>
            </w:r>
            <w:r w:rsidR="007D3985" w:rsidRPr="005A0032">
              <w:t xml:space="preserve">e this effect. </w:t>
            </w:r>
            <w:r w:rsidR="00AF27B5">
              <w:t>A</w:t>
            </w:r>
            <w:r w:rsidR="00AF27B5" w:rsidRPr="00AF27B5">
              <w:t>s a positive environmental side effect, other IAS</w:t>
            </w:r>
            <w:r w:rsidR="00AF27B5">
              <w:t>,</w:t>
            </w:r>
            <w:r w:rsidR="00AF27B5" w:rsidRPr="00AF27B5">
              <w:t xml:space="preserve"> </w:t>
            </w:r>
            <w:r w:rsidR="00AF27B5">
              <w:t xml:space="preserve">such as crayfish and fish, </w:t>
            </w:r>
            <w:r w:rsidR="00AF27B5" w:rsidRPr="00AF27B5">
              <w:t xml:space="preserve">could be </w:t>
            </w:r>
            <w:r w:rsidR="00AF27B5">
              <w:t>trapped and removed</w:t>
            </w:r>
            <w:r w:rsidR="00AF27B5" w:rsidRPr="00AF27B5">
              <w:t>.</w:t>
            </w:r>
            <w:r w:rsidR="00AF27B5">
              <w:t xml:space="preserve"> </w:t>
            </w:r>
            <w:r w:rsidR="00AA0AD5" w:rsidRPr="005A0032">
              <w:t xml:space="preserve">No social or economic </w:t>
            </w:r>
            <w:r w:rsidR="001470F1">
              <w:t xml:space="preserve">side </w:t>
            </w:r>
            <w:r w:rsidR="00AA0AD5" w:rsidRPr="005A0032">
              <w:t>effects are reported.</w:t>
            </w:r>
            <w:r w:rsidR="00FE716B" w:rsidRPr="005A0032">
              <w:t xml:space="preserve"> </w:t>
            </w:r>
          </w:p>
        </w:tc>
      </w:tr>
      <w:tr w:rsidR="00346840" w:rsidRPr="00C75EDD" w14:paraId="7A599A9B" w14:textId="77777777" w:rsidTr="00A2483D">
        <w:tc>
          <w:tcPr>
            <w:tcW w:w="3295" w:type="dxa"/>
            <w:shd w:val="clear" w:color="auto" w:fill="DBE5F1" w:themeFill="accent1" w:themeFillTint="33"/>
          </w:tcPr>
          <w:p w14:paraId="210F2D6F" w14:textId="77777777" w:rsidR="00346840" w:rsidRPr="0039672E" w:rsidRDefault="00346840" w:rsidP="00A2483D">
            <w:pPr>
              <w:pStyle w:val="NoSpacing"/>
              <w:rPr>
                <w:b/>
              </w:rPr>
            </w:pPr>
            <w:r w:rsidRPr="0039672E">
              <w:rPr>
                <w:b/>
              </w:rPr>
              <w:t>Acceptability to stakeholders</w:t>
            </w:r>
          </w:p>
          <w:p w14:paraId="5E4EADE7" w14:textId="77777777" w:rsidR="00346840" w:rsidRDefault="00346840" w:rsidP="00A2483D">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0B7258B4" w14:textId="77777777" w:rsidR="00346840" w:rsidRDefault="00346840" w:rsidP="00A2483D">
            <w:pPr>
              <w:pStyle w:val="NoSpacing"/>
              <w:rPr>
                <w:sz w:val="20"/>
              </w:rPr>
            </w:pPr>
          </w:p>
          <w:p w14:paraId="3CC1A671" w14:textId="77777777" w:rsidR="00346840" w:rsidRPr="002B6463" w:rsidRDefault="00346840" w:rsidP="00A2483D">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4A88239C" w14:textId="77777777" w:rsidTr="00A2483D">
              <w:tc>
                <w:tcPr>
                  <w:tcW w:w="2116" w:type="dxa"/>
                </w:tcPr>
                <w:p w14:paraId="6C1B079A" w14:textId="77777777" w:rsidR="00346840" w:rsidRPr="002E17F6" w:rsidRDefault="00346840" w:rsidP="00A2483D">
                  <w:pPr>
                    <w:pStyle w:val="NoSpacing"/>
                    <w:rPr>
                      <w:b/>
                      <w:i/>
                      <w:sz w:val="20"/>
                    </w:rPr>
                  </w:pPr>
                  <w:r w:rsidRPr="002E17F6">
                    <w:rPr>
                      <w:b/>
                      <w:i/>
                      <w:sz w:val="20"/>
                    </w:rPr>
                    <w:t>Acceptability to stakeholders</w:t>
                  </w:r>
                </w:p>
              </w:tc>
              <w:tc>
                <w:tcPr>
                  <w:tcW w:w="1701" w:type="dxa"/>
                </w:tcPr>
                <w:p w14:paraId="63FF94E1" w14:textId="77777777" w:rsidR="00346840" w:rsidRDefault="00346840" w:rsidP="00A2483D">
                  <w:pPr>
                    <w:pStyle w:val="NoSpacing"/>
                    <w:jc w:val="right"/>
                    <w:rPr>
                      <w:i/>
                      <w:sz w:val="20"/>
                    </w:rPr>
                  </w:pPr>
                  <w:r>
                    <w:rPr>
                      <w:i/>
                      <w:sz w:val="20"/>
                    </w:rPr>
                    <w:t>Acceptable</w:t>
                  </w:r>
                </w:p>
              </w:tc>
              <w:tc>
                <w:tcPr>
                  <w:tcW w:w="425" w:type="dxa"/>
                  <w:shd w:val="clear" w:color="auto" w:fill="DBE5F1" w:themeFill="accent1" w:themeFillTint="33"/>
                </w:tcPr>
                <w:p w14:paraId="5EFF7858" w14:textId="5936DFEA" w:rsidR="00346840" w:rsidRDefault="00AA0AD5" w:rsidP="00A2483D">
                  <w:pPr>
                    <w:pStyle w:val="NoSpacing"/>
                    <w:jc w:val="right"/>
                    <w:rPr>
                      <w:i/>
                      <w:sz w:val="20"/>
                    </w:rPr>
                  </w:pPr>
                  <w:r>
                    <w:rPr>
                      <w:i/>
                      <w:sz w:val="20"/>
                    </w:rPr>
                    <w:t>X</w:t>
                  </w:r>
                </w:p>
              </w:tc>
              <w:tc>
                <w:tcPr>
                  <w:tcW w:w="2268" w:type="dxa"/>
                </w:tcPr>
                <w:p w14:paraId="09B8A46F" w14:textId="77777777" w:rsidR="00346840" w:rsidRDefault="00346840" w:rsidP="00A2483D">
                  <w:pPr>
                    <w:pStyle w:val="NoSpacing"/>
                    <w:jc w:val="right"/>
                    <w:rPr>
                      <w:i/>
                      <w:sz w:val="20"/>
                    </w:rPr>
                  </w:pPr>
                  <w:r>
                    <w:rPr>
                      <w:i/>
                      <w:sz w:val="20"/>
                    </w:rPr>
                    <w:t>Neutral or mixed</w:t>
                  </w:r>
                </w:p>
              </w:tc>
              <w:tc>
                <w:tcPr>
                  <w:tcW w:w="425" w:type="dxa"/>
                  <w:shd w:val="clear" w:color="auto" w:fill="DBE5F1" w:themeFill="accent1" w:themeFillTint="33"/>
                </w:tcPr>
                <w:p w14:paraId="0B88EF59" w14:textId="77777777" w:rsidR="00346840" w:rsidRDefault="00346840" w:rsidP="00A2483D">
                  <w:pPr>
                    <w:pStyle w:val="NoSpacing"/>
                    <w:jc w:val="right"/>
                    <w:rPr>
                      <w:i/>
                      <w:sz w:val="20"/>
                    </w:rPr>
                  </w:pPr>
                </w:p>
              </w:tc>
              <w:tc>
                <w:tcPr>
                  <w:tcW w:w="2002" w:type="dxa"/>
                </w:tcPr>
                <w:p w14:paraId="1F52E594" w14:textId="77777777" w:rsidR="00346840" w:rsidRDefault="00346840" w:rsidP="00A2483D">
                  <w:pPr>
                    <w:pStyle w:val="NoSpacing"/>
                    <w:jc w:val="right"/>
                    <w:rPr>
                      <w:i/>
                      <w:sz w:val="20"/>
                    </w:rPr>
                  </w:pPr>
                  <w:r>
                    <w:rPr>
                      <w:i/>
                      <w:sz w:val="20"/>
                    </w:rPr>
                    <w:t>Unacceptable</w:t>
                  </w:r>
                </w:p>
              </w:tc>
              <w:tc>
                <w:tcPr>
                  <w:tcW w:w="408" w:type="dxa"/>
                  <w:shd w:val="clear" w:color="auto" w:fill="DBE5F1" w:themeFill="accent1" w:themeFillTint="33"/>
                </w:tcPr>
                <w:p w14:paraId="4A3E13BD" w14:textId="77777777" w:rsidR="00346840" w:rsidRDefault="00346840" w:rsidP="00A2483D">
                  <w:pPr>
                    <w:pStyle w:val="NoSpacing"/>
                    <w:rPr>
                      <w:i/>
                      <w:sz w:val="20"/>
                    </w:rPr>
                  </w:pPr>
                </w:p>
              </w:tc>
            </w:tr>
          </w:tbl>
          <w:p w14:paraId="63CAEB5D" w14:textId="77777777" w:rsidR="00346840" w:rsidRDefault="00346840" w:rsidP="00A2483D">
            <w:pPr>
              <w:pStyle w:val="NoSpacing"/>
              <w:rPr>
                <w:i/>
                <w:sz w:val="20"/>
              </w:rPr>
            </w:pPr>
          </w:p>
          <w:p w14:paraId="7AB44ADD" w14:textId="77777777" w:rsidR="00346840" w:rsidRDefault="00346840" w:rsidP="00A2483D">
            <w:pPr>
              <w:pStyle w:val="NoSpacing"/>
              <w:rPr>
                <w:sz w:val="20"/>
              </w:rPr>
            </w:pPr>
            <w:r w:rsidRPr="00C856F5">
              <w:rPr>
                <w:i/>
                <w:sz w:val="20"/>
              </w:rPr>
              <w:t>Rationale</w:t>
            </w:r>
            <w:r>
              <w:rPr>
                <w:sz w:val="20"/>
              </w:rPr>
              <w:t>:</w:t>
            </w:r>
          </w:p>
          <w:p w14:paraId="68D7F0D9" w14:textId="526B30DB" w:rsidR="00AA0AD5" w:rsidRPr="00C75EDD" w:rsidRDefault="00AA0AD5" w:rsidP="00AA0AD5">
            <w:pPr>
              <w:pStyle w:val="NoSpacing"/>
              <w:rPr>
                <w:sz w:val="20"/>
              </w:rPr>
            </w:pPr>
            <w:r w:rsidRPr="005A0032">
              <w:t xml:space="preserve">Usually trapping is accepted by most </w:t>
            </w:r>
            <w:r w:rsidR="00E610CF">
              <w:t xml:space="preserve">stakeholders, </w:t>
            </w:r>
            <w:r w:rsidRPr="005A0032">
              <w:t xml:space="preserve">as it is the </w:t>
            </w:r>
            <w:r w:rsidR="00051EF4" w:rsidRPr="005A0032">
              <w:t>friendliest</w:t>
            </w:r>
            <w:r w:rsidRPr="005A0032">
              <w:t xml:space="preserve"> </w:t>
            </w:r>
            <w:r w:rsidR="00E610CF">
              <w:t xml:space="preserve">capture </w:t>
            </w:r>
            <w:r w:rsidRPr="005A0032">
              <w:t>method.</w:t>
            </w:r>
          </w:p>
          <w:p w14:paraId="71A8F8B1" w14:textId="2D7D1BCE" w:rsidR="00346840" w:rsidRPr="00C75EDD" w:rsidRDefault="00346840" w:rsidP="00AA0AD5">
            <w:pPr>
              <w:pStyle w:val="NoSpacing"/>
              <w:rPr>
                <w:sz w:val="20"/>
              </w:rPr>
            </w:pPr>
          </w:p>
        </w:tc>
      </w:tr>
      <w:tr w:rsidR="00346840" w14:paraId="1884B9E2" w14:textId="77777777" w:rsidTr="00A2483D">
        <w:tc>
          <w:tcPr>
            <w:tcW w:w="3295" w:type="dxa"/>
            <w:shd w:val="clear" w:color="auto" w:fill="DBE5F1" w:themeFill="accent1" w:themeFillTint="33"/>
          </w:tcPr>
          <w:p w14:paraId="5A8D1355" w14:textId="77777777" w:rsidR="00346840" w:rsidRPr="0039672E" w:rsidRDefault="00346840" w:rsidP="00A2483D">
            <w:pPr>
              <w:pStyle w:val="NoSpacing"/>
              <w:rPr>
                <w:b/>
              </w:rPr>
            </w:pPr>
            <w:r w:rsidRPr="0039672E">
              <w:rPr>
                <w:b/>
              </w:rPr>
              <w:t>Additional cost information</w:t>
            </w:r>
            <w:r>
              <w:rPr>
                <w:b/>
              </w:rPr>
              <w:t xml:space="preserve"> </w:t>
            </w:r>
            <w:r>
              <w:rPr>
                <w:b/>
                <w:vertAlign w:val="superscript"/>
              </w:rPr>
              <w:t>1</w:t>
            </w:r>
          </w:p>
          <w:p w14:paraId="712B9ACA" w14:textId="77777777" w:rsidR="00346840" w:rsidRDefault="00346840" w:rsidP="00A2483D">
            <w:pPr>
              <w:rPr>
                <w:sz w:val="20"/>
              </w:rPr>
            </w:pPr>
            <w:r>
              <w:rPr>
                <w:sz w:val="20"/>
              </w:rPr>
              <w:t xml:space="preserve">When not already included above, or in the species Risk Assessment. </w:t>
            </w:r>
          </w:p>
          <w:p w14:paraId="30DE1B57" w14:textId="77777777" w:rsidR="00346840" w:rsidRPr="00E662A4" w:rsidRDefault="00346840" w:rsidP="00A2483D">
            <w:pPr>
              <w:rPr>
                <w:sz w:val="20"/>
              </w:rPr>
            </w:pPr>
            <w:r>
              <w:rPr>
                <w:sz w:val="20"/>
              </w:rPr>
              <w:t xml:space="preserve">- </w:t>
            </w:r>
            <w:r w:rsidRPr="00E662A4">
              <w:rPr>
                <w:sz w:val="20"/>
              </w:rPr>
              <w:t>implementation cost for Member States</w:t>
            </w:r>
          </w:p>
          <w:p w14:paraId="53CB9812" w14:textId="77777777" w:rsidR="00346840" w:rsidRPr="00E662A4" w:rsidRDefault="00346840" w:rsidP="00A2483D">
            <w:pPr>
              <w:rPr>
                <w:sz w:val="20"/>
              </w:rPr>
            </w:pPr>
            <w:r>
              <w:rPr>
                <w:sz w:val="20"/>
              </w:rPr>
              <w:t xml:space="preserve">- </w:t>
            </w:r>
            <w:r w:rsidRPr="00E662A4">
              <w:rPr>
                <w:sz w:val="20"/>
              </w:rPr>
              <w:t>the cost of inaction</w:t>
            </w:r>
          </w:p>
          <w:p w14:paraId="4495BE9C" w14:textId="77777777" w:rsidR="00346840" w:rsidRPr="00E662A4" w:rsidRDefault="00346840" w:rsidP="00A2483D">
            <w:pPr>
              <w:rPr>
                <w:sz w:val="20"/>
              </w:rPr>
            </w:pPr>
            <w:r>
              <w:rPr>
                <w:sz w:val="20"/>
              </w:rPr>
              <w:t xml:space="preserve">- </w:t>
            </w:r>
            <w:r w:rsidRPr="00E662A4">
              <w:rPr>
                <w:sz w:val="20"/>
              </w:rPr>
              <w:t>the cost-effectiveness</w:t>
            </w:r>
          </w:p>
          <w:p w14:paraId="2A3DC796" w14:textId="77777777" w:rsidR="00346840" w:rsidRDefault="00346840" w:rsidP="00A2483D">
            <w:pPr>
              <w:pStyle w:val="NoSpacing"/>
              <w:rPr>
                <w:sz w:val="20"/>
              </w:rPr>
            </w:pPr>
            <w:r>
              <w:rPr>
                <w:sz w:val="20"/>
              </w:rPr>
              <w:t xml:space="preserve">- </w:t>
            </w:r>
            <w:r w:rsidRPr="00E662A4">
              <w:rPr>
                <w:sz w:val="20"/>
              </w:rPr>
              <w:t>the socio-economic aspects</w:t>
            </w:r>
          </w:p>
          <w:p w14:paraId="1F1E8569" w14:textId="77777777" w:rsidR="00FD0D4D" w:rsidRDefault="00FD0D4D" w:rsidP="00A2483D">
            <w:pPr>
              <w:pStyle w:val="NoSpacing"/>
              <w:rPr>
                <w:sz w:val="20"/>
              </w:rPr>
            </w:pPr>
          </w:p>
          <w:p w14:paraId="3FBE38DE" w14:textId="70F0BE4B" w:rsidR="00FD0D4D" w:rsidRPr="002B6463" w:rsidRDefault="00FD0D4D" w:rsidP="00A2483D">
            <w:pPr>
              <w:pStyle w:val="NoSpacing"/>
              <w:rPr>
                <w:sz w:val="20"/>
              </w:rPr>
            </w:pPr>
            <w:r>
              <w:rPr>
                <w:sz w:val="20"/>
              </w:rPr>
              <w:t>Include quantitative &amp;/or qualitative data, and case studies (incl. from countries outside the EU).</w:t>
            </w:r>
          </w:p>
        </w:tc>
        <w:tc>
          <w:tcPr>
            <w:tcW w:w="10653" w:type="dxa"/>
          </w:tcPr>
          <w:p w14:paraId="7F988073" w14:textId="08138EAF" w:rsidR="00346840" w:rsidRDefault="0095461D" w:rsidP="00E374A8">
            <w:pPr>
              <w:pStyle w:val="NoSpacing"/>
              <w:rPr>
                <w:sz w:val="20"/>
              </w:rPr>
            </w:pPr>
            <w:r w:rsidRPr="005A0032">
              <w:t>I</w:t>
            </w:r>
            <w:r w:rsidR="00F9540A" w:rsidRPr="005A0032">
              <w:t xml:space="preserve">ntensity and cost may need to </w:t>
            </w:r>
            <w:r w:rsidR="00E374A8">
              <w:t xml:space="preserve">be </w:t>
            </w:r>
            <w:r w:rsidR="00F9540A" w:rsidRPr="005A0032">
              <w:t>increase</w:t>
            </w:r>
            <w:r w:rsidR="00E374A8">
              <w:t>d</w:t>
            </w:r>
            <w:r w:rsidR="00F9540A" w:rsidRPr="005A0032">
              <w:t xml:space="preserve"> in areas where the species spread may be expected (e.g. transboundary waters)</w:t>
            </w:r>
            <w:r w:rsidR="00AF3F20" w:rsidRPr="005A0032">
              <w:t xml:space="preserve"> and in areas of conservation concern</w:t>
            </w:r>
            <w:r w:rsidR="00360A8A" w:rsidRPr="005A0032">
              <w:t>.</w:t>
            </w:r>
            <w:r w:rsidR="001A41A2" w:rsidRPr="005A0032">
              <w:t xml:space="preserve"> There are no</w:t>
            </w:r>
            <w:r w:rsidR="007812EC" w:rsidRPr="005A0032">
              <w:t>t</w:t>
            </w:r>
            <w:r w:rsidR="001A41A2" w:rsidRPr="005A0032">
              <w:t xml:space="preserve"> enough data on cost-effectiveness, but for certain selected areas it could be important to</w:t>
            </w:r>
            <w:r w:rsidR="007812EC" w:rsidRPr="005A0032">
              <w:t xml:space="preserve"> </w:t>
            </w:r>
            <w:r w:rsidR="00E374A8">
              <w:t>use this measure</w:t>
            </w:r>
            <w:r w:rsidR="007812EC" w:rsidRPr="005A0032">
              <w:t>.</w:t>
            </w:r>
          </w:p>
        </w:tc>
      </w:tr>
      <w:tr w:rsidR="00346840" w14:paraId="690D9256" w14:textId="77777777" w:rsidTr="00A2483D">
        <w:tc>
          <w:tcPr>
            <w:tcW w:w="3295" w:type="dxa"/>
            <w:tcBorders>
              <w:bottom w:val="single" w:sz="4" w:space="0" w:color="auto"/>
            </w:tcBorders>
            <w:shd w:val="clear" w:color="auto" w:fill="DBE5F1" w:themeFill="accent1" w:themeFillTint="33"/>
          </w:tcPr>
          <w:p w14:paraId="688A5EB5" w14:textId="77777777" w:rsidR="00C81F1E" w:rsidRDefault="00C81F1E" w:rsidP="00C81F1E">
            <w:pPr>
              <w:pStyle w:val="NoSpacing"/>
              <w:rPr>
                <w:b/>
              </w:rPr>
            </w:pPr>
            <w:r w:rsidRPr="002B6463">
              <w:rPr>
                <w:b/>
              </w:rPr>
              <w:t>Level of confidence</w:t>
            </w:r>
            <w:r>
              <w:rPr>
                <w:b/>
              </w:rPr>
              <w:t xml:space="preserve"> on the information provided </w:t>
            </w:r>
            <w:r>
              <w:rPr>
                <w:b/>
                <w:vertAlign w:val="superscript"/>
              </w:rPr>
              <w:t>2</w:t>
            </w:r>
          </w:p>
          <w:p w14:paraId="1F604549" w14:textId="77777777" w:rsidR="00C81F1E" w:rsidRDefault="00C81F1E" w:rsidP="00C81F1E">
            <w:pPr>
              <w:pStyle w:val="NoSpacing"/>
              <w:rPr>
                <w:rFonts w:eastAsia="Times New Roman" w:cstheme="minorHAnsi"/>
                <w:b/>
                <w:sz w:val="20"/>
                <w:szCs w:val="20"/>
              </w:rPr>
            </w:pPr>
          </w:p>
          <w:p w14:paraId="4B4EBAD7" w14:textId="77777777" w:rsidR="00C81F1E" w:rsidRPr="00DE32F5" w:rsidRDefault="00C81F1E" w:rsidP="00C81F1E">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5AE8857C" w14:textId="2662A239" w:rsidR="00346840" w:rsidRDefault="00C81F1E" w:rsidP="00C81F1E">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C81F1E" w14:paraId="2B3F5760" w14:textId="77777777" w:rsidTr="00C81F1E">
              <w:tc>
                <w:tcPr>
                  <w:tcW w:w="2024" w:type="dxa"/>
                </w:tcPr>
                <w:p w14:paraId="1568FEF2" w14:textId="77777777" w:rsidR="00C81F1E" w:rsidRPr="007C64EE" w:rsidRDefault="00C81F1E" w:rsidP="00C81F1E">
                  <w:pPr>
                    <w:pStyle w:val="NoSpacing"/>
                    <w:rPr>
                      <w:i/>
                      <w:sz w:val="20"/>
                    </w:rPr>
                  </w:pPr>
                  <w:r>
                    <w:rPr>
                      <w:i/>
                      <w:sz w:val="20"/>
                    </w:rPr>
                    <w:t>Inconclusive</w:t>
                  </w:r>
                </w:p>
              </w:tc>
              <w:tc>
                <w:tcPr>
                  <w:tcW w:w="375" w:type="dxa"/>
                  <w:shd w:val="clear" w:color="auto" w:fill="DBE5F1" w:themeFill="accent1" w:themeFillTint="33"/>
                </w:tcPr>
                <w:p w14:paraId="780959C9" w14:textId="77777777" w:rsidR="00C81F1E" w:rsidRDefault="00C81F1E" w:rsidP="00C81F1E">
                  <w:pPr>
                    <w:pStyle w:val="NoSpacing"/>
                    <w:jc w:val="right"/>
                    <w:rPr>
                      <w:i/>
                      <w:sz w:val="20"/>
                    </w:rPr>
                  </w:pPr>
                </w:p>
              </w:tc>
              <w:tc>
                <w:tcPr>
                  <w:tcW w:w="1559" w:type="dxa"/>
                </w:tcPr>
                <w:p w14:paraId="19C665FD" w14:textId="77777777" w:rsidR="00C81F1E" w:rsidRDefault="00C81F1E" w:rsidP="00C81F1E">
                  <w:pPr>
                    <w:pStyle w:val="NoSpacing"/>
                    <w:jc w:val="right"/>
                    <w:rPr>
                      <w:i/>
                      <w:sz w:val="20"/>
                    </w:rPr>
                  </w:pPr>
                  <w:r>
                    <w:rPr>
                      <w:i/>
                      <w:sz w:val="20"/>
                    </w:rPr>
                    <w:t>Unresolved</w:t>
                  </w:r>
                </w:p>
              </w:tc>
              <w:tc>
                <w:tcPr>
                  <w:tcW w:w="426" w:type="dxa"/>
                  <w:shd w:val="clear" w:color="auto" w:fill="DBE5F1" w:themeFill="accent1" w:themeFillTint="33"/>
                </w:tcPr>
                <w:p w14:paraId="6B435906" w14:textId="77777777" w:rsidR="00C81F1E" w:rsidRDefault="00C81F1E" w:rsidP="00C81F1E">
                  <w:pPr>
                    <w:pStyle w:val="NoSpacing"/>
                    <w:jc w:val="right"/>
                    <w:rPr>
                      <w:i/>
                      <w:sz w:val="20"/>
                    </w:rPr>
                  </w:pPr>
                </w:p>
              </w:tc>
              <w:tc>
                <w:tcPr>
                  <w:tcW w:w="2126" w:type="dxa"/>
                </w:tcPr>
                <w:p w14:paraId="11BB2B47" w14:textId="77777777" w:rsidR="00C81F1E" w:rsidRDefault="00C81F1E" w:rsidP="00C81F1E">
                  <w:pPr>
                    <w:pStyle w:val="NoSpacing"/>
                    <w:jc w:val="right"/>
                    <w:rPr>
                      <w:i/>
                      <w:sz w:val="20"/>
                    </w:rPr>
                  </w:pPr>
                  <w:r>
                    <w:rPr>
                      <w:i/>
                      <w:sz w:val="20"/>
                    </w:rPr>
                    <w:t>Established but incomplete</w:t>
                  </w:r>
                </w:p>
              </w:tc>
              <w:tc>
                <w:tcPr>
                  <w:tcW w:w="425" w:type="dxa"/>
                  <w:shd w:val="clear" w:color="auto" w:fill="DBE5F1" w:themeFill="accent1" w:themeFillTint="33"/>
                </w:tcPr>
                <w:p w14:paraId="5477EC14" w14:textId="77777777" w:rsidR="00C81F1E" w:rsidRDefault="00C81F1E" w:rsidP="00C81F1E">
                  <w:pPr>
                    <w:pStyle w:val="NoSpacing"/>
                    <w:jc w:val="right"/>
                    <w:rPr>
                      <w:i/>
                      <w:sz w:val="20"/>
                    </w:rPr>
                  </w:pPr>
                </w:p>
              </w:tc>
              <w:tc>
                <w:tcPr>
                  <w:tcW w:w="2268" w:type="dxa"/>
                </w:tcPr>
                <w:p w14:paraId="17A89854" w14:textId="77777777" w:rsidR="00C81F1E" w:rsidRDefault="00C81F1E" w:rsidP="00C81F1E">
                  <w:pPr>
                    <w:pStyle w:val="NoSpacing"/>
                    <w:jc w:val="right"/>
                    <w:rPr>
                      <w:i/>
                      <w:sz w:val="20"/>
                    </w:rPr>
                  </w:pPr>
                  <w:r>
                    <w:rPr>
                      <w:i/>
                      <w:sz w:val="20"/>
                    </w:rPr>
                    <w:t>Well established</w:t>
                  </w:r>
                </w:p>
              </w:tc>
              <w:tc>
                <w:tcPr>
                  <w:tcW w:w="425" w:type="dxa"/>
                  <w:shd w:val="clear" w:color="auto" w:fill="DBE5F1" w:themeFill="accent1" w:themeFillTint="33"/>
                </w:tcPr>
                <w:p w14:paraId="39E898EC" w14:textId="6A237D29" w:rsidR="00C81F1E" w:rsidRDefault="002C2DFC" w:rsidP="00C81F1E">
                  <w:pPr>
                    <w:pStyle w:val="NoSpacing"/>
                    <w:rPr>
                      <w:i/>
                      <w:sz w:val="20"/>
                    </w:rPr>
                  </w:pPr>
                  <w:r>
                    <w:rPr>
                      <w:i/>
                      <w:sz w:val="20"/>
                    </w:rPr>
                    <w:t>X</w:t>
                  </w:r>
                </w:p>
              </w:tc>
            </w:tr>
          </w:tbl>
          <w:p w14:paraId="3807B5D9" w14:textId="77777777" w:rsidR="00C81F1E" w:rsidRDefault="00C81F1E" w:rsidP="00C81F1E">
            <w:pPr>
              <w:pStyle w:val="NoSpacing"/>
              <w:rPr>
                <w:i/>
                <w:sz w:val="20"/>
              </w:rPr>
            </w:pPr>
          </w:p>
          <w:p w14:paraId="1AD8139C" w14:textId="77777777" w:rsidR="00C81F1E" w:rsidRDefault="00C81F1E" w:rsidP="00C81F1E">
            <w:pPr>
              <w:pStyle w:val="NoSpacing"/>
              <w:rPr>
                <w:sz w:val="20"/>
              </w:rPr>
            </w:pPr>
            <w:r w:rsidRPr="00C856F5">
              <w:rPr>
                <w:i/>
                <w:sz w:val="20"/>
              </w:rPr>
              <w:t>Rationale</w:t>
            </w:r>
            <w:r>
              <w:rPr>
                <w:sz w:val="20"/>
              </w:rPr>
              <w:t>:</w:t>
            </w:r>
          </w:p>
          <w:p w14:paraId="2555D65E" w14:textId="78EA8E60" w:rsidR="00346840" w:rsidRPr="00FA58FE" w:rsidRDefault="002C2DFC" w:rsidP="00E374A8">
            <w:pPr>
              <w:pStyle w:val="NoSpacing"/>
              <w:rPr>
                <w:sz w:val="20"/>
                <w:szCs w:val="20"/>
              </w:rPr>
            </w:pPr>
            <w:r w:rsidRPr="005A0032">
              <w:rPr>
                <w:szCs w:val="20"/>
              </w:rPr>
              <w:t xml:space="preserve">Trapping </w:t>
            </w:r>
            <w:r w:rsidR="00E374A8">
              <w:rPr>
                <w:szCs w:val="20"/>
              </w:rPr>
              <w:t xml:space="preserve">has been largely used for containment of various aquatic species, including the Chinese mitten crab. It </w:t>
            </w:r>
            <w:r w:rsidRPr="005A0032">
              <w:rPr>
                <w:szCs w:val="20"/>
              </w:rPr>
              <w:t>can slow down the coloni</w:t>
            </w:r>
            <w:r w:rsidR="00E374A8">
              <w:rPr>
                <w:szCs w:val="20"/>
              </w:rPr>
              <w:t>s</w:t>
            </w:r>
            <w:r w:rsidRPr="005A0032">
              <w:rPr>
                <w:szCs w:val="20"/>
              </w:rPr>
              <w:t>ation process and population</w:t>
            </w:r>
            <w:r w:rsidR="00E374A8">
              <w:rPr>
                <w:szCs w:val="20"/>
              </w:rPr>
              <w:t xml:space="preserve"> spread</w:t>
            </w:r>
            <w:r w:rsidR="00623588" w:rsidRPr="005A0032">
              <w:rPr>
                <w:szCs w:val="20"/>
              </w:rPr>
              <w:t xml:space="preserve">, even if </w:t>
            </w:r>
            <w:r w:rsidR="00E374A8">
              <w:rPr>
                <w:szCs w:val="20"/>
              </w:rPr>
              <w:t xml:space="preserve">it </w:t>
            </w:r>
            <w:r w:rsidR="00623588" w:rsidRPr="005A0032">
              <w:rPr>
                <w:szCs w:val="20"/>
              </w:rPr>
              <w:t>cannot completely eradicate and manage a population</w:t>
            </w:r>
            <w:r w:rsidRPr="005A0032">
              <w:rPr>
                <w:szCs w:val="20"/>
              </w:rPr>
              <w:t xml:space="preserve">. </w:t>
            </w:r>
          </w:p>
        </w:tc>
      </w:tr>
    </w:tbl>
    <w:p w14:paraId="74094E1C" w14:textId="3896A6CE" w:rsidR="00FD0D4D" w:rsidRDefault="00FD0D4D"/>
    <w:p w14:paraId="0689F9F1" w14:textId="77777777" w:rsidR="00D979A8" w:rsidRDefault="00D979A8"/>
    <w:tbl>
      <w:tblPr>
        <w:tblStyle w:val="TableGrid"/>
        <w:tblW w:w="0" w:type="auto"/>
        <w:tblLook w:val="04A0" w:firstRow="1" w:lastRow="0" w:firstColumn="1" w:lastColumn="0" w:noHBand="0" w:noVBand="1"/>
      </w:tblPr>
      <w:tblGrid>
        <w:gridCol w:w="3295"/>
        <w:gridCol w:w="10653"/>
      </w:tblGrid>
      <w:tr w:rsidR="00346840" w:rsidRPr="00EA4F7D" w14:paraId="45791305" w14:textId="77777777" w:rsidTr="00A2483D">
        <w:tc>
          <w:tcPr>
            <w:tcW w:w="13948" w:type="dxa"/>
            <w:gridSpan w:val="2"/>
            <w:shd w:val="clear" w:color="auto" w:fill="E5B8B7" w:themeFill="accent2" w:themeFillTint="66"/>
          </w:tcPr>
          <w:p w14:paraId="75E3F69E" w14:textId="09BA6DA6" w:rsidR="00346840" w:rsidRPr="00EA4F7D" w:rsidRDefault="00346840" w:rsidP="00A2483D">
            <w:pPr>
              <w:pStyle w:val="NoSpacing"/>
              <w:rPr>
                <w:sz w:val="24"/>
                <w:szCs w:val="24"/>
              </w:rPr>
            </w:pPr>
            <w:r>
              <w:rPr>
                <w:rFonts w:eastAsia="Times New Roman"/>
                <w:b/>
                <w:sz w:val="28"/>
              </w:rPr>
              <w:lastRenderedPageBreak/>
              <w:t>Surveillance measures to support e</w:t>
            </w:r>
            <w:r w:rsidRPr="000D1AA8">
              <w:rPr>
                <w:rFonts w:eastAsia="Times New Roman"/>
                <w:b/>
                <w:sz w:val="28"/>
              </w:rPr>
              <w:t>arly detection</w:t>
            </w:r>
            <w:r w:rsidRPr="002B6463">
              <w:rPr>
                <w:b/>
                <w:sz w:val="28"/>
              </w:rPr>
              <w:t xml:space="preserve"> </w:t>
            </w:r>
            <w:r>
              <w:rPr>
                <w:b/>
                <w:sz w:val="28"/>
              </w:rPr>
              <w:t xml:space="preserve">- </w:t>
            </w:r>
            <w:r w:rsidRPr="00280410">
              <w:rPr>
                <w:rFonts w:cstheme="minorHAnsi"/>
                <w:sz w:val="20"/>
                <w:szCs w:val="20"/>
              </w:rPr>
              <w:t xml:space="preserve">Measures to run an effective surveillance system </w:t>
            </w:r>
            <w:r>
              <w:rPr>
                <w:rFonts w:cstheme="minorHAnsi"/>
                <w:sz w:val="20"/>
                <w:szCs w:val="20"/>
              </w:rPr>
              <w:t>for achieving</w:t>
            </w:r>
            <w:r w:rsidRPr="00280410">
              <w:rPr>
                <w:rFonts w:cstheme="minorHAnsi"/>
                <w:sz w:val="20"/>
                <w:szCs w:val="20"/>
              </w:rPr>
              <w:t xml:space="preserve"> an early detection of a new occurrence (cf. Article 16</w:t>
            </w:r>
            <w:r>
              <w:rPr>
                <w:rFonts w:cstheme="minorHAnsi"/>
                <w:sz w:val="20"/>
                <w:szCs w:val="20"/>
              </w:rPr>
              <w:t>).</w:t>
            </w:r>
            <w:r w:rsidRPr="00280410">
              <w:rPr>
                <w:rFonts w:cstheme="minorHAnsi"/>
                <w:sz w:val="20"/>
                <w:szCs w:val="20"/>
              </w:rPr>
              <w:t xml:space="preserve"> This section assume</w:t>
            </w:r>
            <w:r>
              <w:rPr>
                <w:rFonts w:cstheme="minorHAnsi"/>
                <w:sz w:val="20"/>
                <w:szCs w:val="20"/>
              </w:rPr>
              <w:t>s</w:t>
            </w:r>
            <w:r w:rsidRPr="00280410">
              <w:rPr>
                <w:rFonts w:cstheme="minorHAnsi"/>
                <w:sz w:val="20"/>
                <w:szCs w:val="20"/>
              </w:rPr>
              <w:t xml:space="preserve"> that the species is not currently present in a Member State, or part of a Member State’s territory. </w:t>
            </w:r>
            <w:r>
              <w:rPr>
                <w:rFonts w:cstheme="minorHAnsi"/>
                <w:b/>
                <w:sz w:val="20"/>
                <w:szCs w:val="24"/>
              </w:rPr>
              <w:t>T</w:t>
            </w:r>
            <w:r w:rsidRPr="00280410">
              <w:rPr>
                <w:rFonts w:cstheme="minorHAnsi"/>
                <w:b/>
                <w:sz w:val="20"/>
                <w:szCs w:val="24"/>
              </w:rPr>
              <w:t xml:space="preserve">his table </w:t>
            </w:r>
            <w:r>
              <w:rPr>
                <w:rFonts w:cstheme="minorHAnsi"/>
                <w:b/>
                <w:sz w:val="20"/>
                <w:szCs w:val="24"/>
              </w:rPr>
              <w:t>is repeated for each of the</w:t>
            </w:r>
            <w:r w:rsidRPr="00280410">
              <w:rPr>
                <w:rFonts w:cstheme="minorHAnsi"/>
                <w:b/>
                <w:sz w:val="20"/>
                <w:szCs w:val="24"/>
              </w:rPr>
              <w:t xml:space="preserve"> early detection measures</w:t>
            </w:r>
            <w:r>
              <w:rPr>
                <w:rFonts w:cstheme="minorHAnsi"/>
                <w:b/>
                <w:sz w:val="20"/>
                <w:szCs w:val="24"/>
              </w:rPr>
              <w:t xml:space="preserve"> identified.</w:t>
            </w:r>
          </w:p>
        </w:tc>
      </w:tr>
      <w:tr w:rsidR="00346840" w:rsidRPr="007C654A" w14:paraId="52DDA75C" w14:textId="77777777" w:rsidTr="00346840">
        <w:trPr>
          <w:trHeight w:val="517"/>
        </w:trPr>
        <w:tc>
          <w:tcPr>
            <w:tcW w:w="3295" w:type="dxa"/>
            <w:tcBorders>
              <w:bottom w:val="single" w:sz="4" w:space="0" w:color="auto"/>
            </w:tcBorders>
            <w:shd w:val="clear" w:color="auto" w:fill="F2DBDB" w:themeFill="accent2" w:themeFillTint="33"/>
          </w:tcPr>
          <w:p w14:paraId="50DB77F7" w14:textId="77777777" w:rsidR="00346840" w:rsidRDefault="00346840" w:rsidP="00A2483D">
            <w:pPr>
              <w:pStyle w:val="NoSpacing"/>
              <w:rPr>
                <w:b/>
              </w:rPr>
            </w:pPr>
            <w:r>
              <w:rPr>
                <w:b/>
              </w:rPr>
              <w:t>Measure description</w:t>
            </w:r>
          </w:p>
          <w:p w14:paraId="0E960DB5" w14:textId="77777777" w:rsidR="00346840" w:rsidRPr="00DE32F5" w:rsidRDefault="00346840" w:rsidP="00A2483D">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tc>
        <w:tc>
          <w:tcPr>
            <w:tcW w:w="10653" w:type="dxa"/>
            <w:tcBorders>
              <w:bottom w:val="single" w:sz="4" w:space="0" w:color="auto"/>
            </w:tcBorders>
          </w:tcPr>
          <w:p w14:paraId="3FFA1FD0" w14:textId="7ED8FAF7" w:rsidR="0023302C" w:rsidRPr="005A0032" w:rsidRDefault="0023302C" w:rsidP="0023302C">
            <w:pPr>
              <w:rPr>
                <w:b/>
              </w:rPr>
            </w:pPr>
            <w:r w:rsidRPr="005A0032">
              <w:rPr>
                <w:b/>
              </w:rPr>
              <w:t>Establish early detection networks</w:t>
            </w:r>
          </w:p>
          <w:p w14:paraId="79A3410E" w14:textId="77777777" w:rsidR="0023302C" w:rsidRPr="005A0032" w:rsidRDefault="0023302C" w:rsidP="0023302C"/>
          <w:p w14:paraId="0703B5C4" w14:textId="2291BC95" w:rsidR="0023302C" w:rsidRPr="005A0032" w:rsidRDefault="00851F33" w:rsidP="0023302C">
            <w:r w:rsidRPr="005A0032">
              <w:t>As th</w:t>
            </w:r>
            <w:r w:rsidR="0023302C" w:rsidRPr="005A0032">
              <w:t xml:space="preserve">e species can disperse through interconnected water systems from neighbouring countries </w:t>
            </w:r>
            <w:r w:rsidRPr="005A0032">
              <w:t>or within a</w:t>
            </w:r>
            <w:r w:rsidR="00A8115C" w:rsidRPr="005A0032">
              <w:t xml:space="preserve"> country</w:t>
            </w:r>
            <w:r w:rsidR="00772927" w:rsidRPr="005A0032">
              <w:t>, a</w:t>
            </w:r>
            <w:r w:rsidR="00243292" w:rsidRPr="005A0032">
              <w:t xml:space="preserve"> network could be established </w:t>
            </w:r>
            <w:r w:rsidR="00465188" w:rsidRPr="005A0032">
              <w:t>to detect new populations</w:t>
            </w:r>
            <w:r w:rsidR="006D2377" w:rsidRPr="005A0032">
              <w:t>.</w:t>
            </w:r>
            <w:r w:rsidR="00465188" w:rsidRPr="005A0032">
              <w:t xml:space="preserve"> </w:t>
            </w:r>
            <w:r w:rsidR="0023302C" w:rsidRPr="005A0032">
              <w:t>Networks may consist</w:t>
            </w:r>
            <w:r w:rsidR="006D2377" w:rsidRPr="005A0032">
              <w:t xml:space="preserve"> of</w:t>
            </w:r>
            <w:r w:rsidR="0023302C" w:rsidRPr="005A0032">
              <w:t xml:space="preserve"> watershed groups, volunteers, residents, anglers, </w:t>
            </w:r>
            <w:r w:rsidR="008677A8" w:rsidRPr="005A0032">
              <w:t xml:space="preserve">commercial </w:t>
            </w:r>
            <w:r w:rsidR="00E7187E" w:rsidRPr="005A0032">
              <w:t xml:space="preserve">freshwater and marine fishermen, </w:t>
            </w:r>
            <w:r w:rsidR="0023302C" w:rsidRPr="005A0032">
              <w:t xml:space="preserve">farmers, </w:t>
            </w:r>
            <w:r w:rsidR="000673E9">
              <w:t xml:space="preserve">or </w:t>
            </w:r>
            <w:r w:rsidR="0023302C" w:rsidRPr="005A0032">
              <w:t xml:space="preserve">civil servants (Chinese Mitten Crab Working Group, 2003). </w:t>
            </w:r>
            <w:r w:rsidR="003347F8" w:rsidRPr="005A0032">
              <w:t xml:space="preserve">People involved in these activities </w:t>
            </w:r>
            <w:r w:rsidR="00492A97" w:rsidRPr="005A0032">
              <w:t>can use traps or nets</w:t>
            </w:r>
            <w:r w:rsidR="000F7490" w:rsidRPr="005A0032">
              <w:t>, permanent or not, left in strategical points (such as fish passage</w:t>
            </w:r>
            <w:r w:rsidR="000673E9">
              <w:t>s</w:t>
            </w:r>
            <w:r w:rsidR="000F7490" w:rsidRPr="005A0032">
              <w:t xml:space="preserve"> and hydropower facilities, where the animals can congregate during migration period</w:t>
            </w:r>
            <w:r w:rsidR="000673E9">
              <w:t>s</w:t>
            </w:r>
            <w:r w:rsidR="000F7490" w:rsidRPr="005A0032">
              <w:t>)</w:t>
            </w:r>
            <w:r w:rsidR="000673E9">
              <w:t>,</w:t>
            </w:r>
            <w:r w:rsidR="00E7187E" w:rsidRPr="005A0032">
              <w:t xml:space="preserve"> or megalopa collectors on boat</w:t>
            </w:r>
            <w:r w:rsidR="003E788B" w:rsidRPr="005A0032">
              <w:t>s of marine fishermen</w:t>
            </w:r>
            <w:r w:rsidR="00D572D2" w:rsidRPr="005A0032">
              <w:t xml:space="preserve"> (</w:t>
            </w:r>
            <w:proofErr w:type="spellStart"/>
            <w:r w:rsidR="00D572D2" w:rsidRPr="005A0032">
              <w:t>Falkingham</w:t>
            </w:r>
            <w:proofErr w:type="spellEnd"/>
            <w:r w:rsidR="00D572D2" w:rsidRPr="005A0032">
              <w:t xml:space="preserve"> et al., 2016)</w:t>
            </w:r>
            <w:r w:rsidR="000F7490" w:rsidRPr="005A0032">
              <w:t xml:space="preserve">. </w:t>
            </w:r>
            <w:r w:rsidR="003C2F66" w:rsidRPr="005A0032">
              <w:t xml:space="preserve">Water abstraction companies could also </w:t>
            </w:r>
            <w:r w:rsidR="000A55A7" w:rsidRPr="005A0032">
              <w:t xml:space="preserve">be </w:t>
            </w:r>
            <w:r w:rsidR="003C2F66" w:rsidRPr="005A0032">
              <w:t xml:space="preserve">involved </w:t>
            </w:r>
            <w:r w:rsidR="000A55A7">
              <w:t>and w</w:t>
            </w:r>
            <w:r w:rsidR="00A05315" w:rsidRPr="005A0032">
              <w:t>ater samples c</w:t>
            </w:r>
            <w:r w:rsidR="000A55A7">
              <w:t>ould</w:t>
            </w:r>
            <w:r w:rsidR="00A05315" w:rsidRPr="005A0032">
              <w:t xml:space="preserve"> be collected </w:t>
            </w:r>
            <w:r w:rsidR="00CC25CE" w:rsidRPr="005A0032">
              <w:t>for further eD</w:t>
            </w:r>
            <w:r w:rsidR="00D43290" w:rsidRPr="005A0032">
              <w:t>NA</w:t>
            </w:r>
            <w:r w:rsidR="00CC25CE" w:rsidRPr="005A0032">
              <w:t xml:space="preserve"> analys</w:t>
            </w:r>
            <w:r w:rsidR="000A55A7">
              <w:t>i</w:t>
            </w:r>
            <w:r w:rsidR="00CC25CE" w:rsidRPr="005A0032">
              <w:t>s.</w:t>
            </w:r>
            <w:r w:rsidR="003C2F66" w:rsidRPr="005A0032">
              <w:t xml:space="preserve"> </w:t>
            </w:r>
            <w:r w:rsidR="00A7038E" w:rsidRPr="005A0032">
              <w:t>This measure involves professionals</w:t>
            </w:r>
            <w:r w:rsidR="000A55A7">
              <w:t>,</w:t>
            </w:r>
            <w:r w:rsidR="00A7038E" w:rsidRPr="005A0032">
              <w:t xml:space="preserve"> but mainly volunteers.</w:t>
            </w:r>
          </w:p>
          <w:p w14:paraId="22183FAA" w14:textId="174F139C" w:rsidR="00A8115C" w:rsidRPr="005A0032" w:rsidRDefault="00A8115C" w:rsidP="0023302C"/>
          <w:p w14:paraId="3A0FAF54" w14:textId="4BFC6044" w:rsidR="00346840" w:rsidRDefault="000F7490" w:rsidP="00AB03D2">
            <w:r w:rsidRPr="005A0032">
              <w:t xml:space="preserve">This measure can </w:t>
            </w:r>
            <w:r w:rsidR="000A55A7" w:rsidRPr="005A0032">
              <w:t xml:space="preserve">also </w:t>
            </w:r>
            <w:r w:rsidRPr="005A0032">
              <w:t xml:space="preserve">be used </w:t>
            </w:r>
            <w:r w:rsidR="009440A5" w:rsidRPr="005A0032">
              <w:t xml:space="preserve">to detect </w:t>
            </w:r>
            <w:r w:rsidR="00AB03D2" w:rsidRPr="005A0032">
              <w:t>other aquatic a</w:t>
            </w:r>
            <w:r w:rsidRPr="005A0032">
              <w:t xml:space="preserve">lien </w:t>
            </w:r>
            <w:r w:rsidR="009440A5" w:rsidRPr="005A0032">
              <w:t xml:space="preserve">species of Union Concern. </w:t>
            </w:r>
          </w:p>
          <w:p w14:paraId="2D989D77" w14:textId="42BBCF62" w:rsidR="005A0032" w:rsidRPr="007C654A" w:rsidRDefault="005A0032" w:rsidP="00AB03D2">
            <w:pPr>
              <w:rPr>
                <w:b/>
                <w:i/>
              </w:rPr>
            </w:pPr>
          </w:p>
        </w:tc>
      </w:tr>
      <w:tr w:rsidR="00346840" w14:paraId="50FED322" w14:textId="77777777" w:rsidTr="00292074">
        <w:trPr>
          <w:trHeight w:val="517"/>
        </w:trPr>
        <w:tc>
          <w:tcPr>
            <w:tcW w:w="3295" w:type="dxa"/>
            <w:tcBorders>
              <w:bottom w:val="single" w:sz="4" w:space="0" w:color="auto"/>
            </w:tcBorders>
            <w:shd w:val="clear" w:color="auto" w:fill="F2DBDB" w:themeFill="accent2" w:themeFillTint="33"/>
          </w:tcPr>
          <w:p w14:paraId="553540BD" w14:textId="77777777" w:rsidR="00346840" w:rsidRDefault="00346840" w:rsidP="00A2483D">
            <w:pPr>
              <w:pStyle w:val="NoSpacing"/>
              <w:rPr>
                <w:b/>
              </w:rPr>
            </w:pPr>
            <w:r>
              <w:rPr>
                <w:b/>
              </w:rPr>
              <w:t>Scale of application</w:t>
            </w:r>
          </w:p>
          <w:p w14:paraId="77017BB5" w14:textId="77777777" w:rsidR="00346840" w:rsidRDefault="00346840" w:rsidP="00A2483D">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p w14:paraId="0EF3C1EC" w14:textId="77777777" w:rsidR="00346840" w:rsidRPr="00DE32F5" w:rsidRDefault="00346840" w:rsidP="00A2483D">
            <w:pPr>
              <w:pStyle w:val="NoSpacing"/>
              <w:rPr>
                <w:sz w:val="20"/>
              </w:rPr>
            </w:pPr>
          </w:p>
        </w:tc>
        <w:tc>
          <w:tcPr>
            <w:tcW w:w="10653" w:type="dxa"/>
            <w:tcBorders>
              <w:bottom w:val="single" w:sz="4" w:space="0" w:color="auto"/>
            </w:tcBorders>
          </w:tcPr>
          <w:p w14:paraId="38633541" w14:textId="4D8DE7E5" w:rsidR="00346840" w:rsidRPr="00C27636" w:rsidRDefault="0046747F" w:rsidP="0046623F">
            <w:pPr>
              <w:rPr>
                <w:sz w:val="20"/>
                <w:szCs w:val="20"/>
              </w:rPr>
            </w:pPr>
            <w:r w:rsidRPr="005A0032">
              <w:rPr>
                <w:szCs w:val="20"/>
              </w:rPr>
              <w:t xml:space="preserve">The scale depends </w:t>
            </w:r>
            <w:r w:rsidR="0046623F">
              <w:rPr>
                <w:szCs w:val="20"/>
              </w:rPr>
              <w:t>on</w:t>
            </w:r>
            <w:r w:rsidR="0046623F" w:rsidRPr="005A0032">
              <w:rPr>
                <w:szCs w:val="20"/>
              </w:rPr>
              <w:t xml:space="preserve"> </w:t>
            </w:r>
            <w:r w:rsidRPr="005A0032">
              <w:rPr>
                <w:szCs w:val="20"/>
              </w:rPr>
              <w:t xml:space="preserve">the </w:t>
            </w:r>
            <w:r w:rsidR="00C27636" w:rsidRPr="005A0032">
              <w:rPr>
                <w:szCs w:val="20"/>
              </w:rPr>
              <w:t xml:space="preserve">area to </w:t>
            </w:r>
            <w:r w:rsidR="00B10E91" w:rsidRPr="005A0032">
              <w:rPr>
                <w:szCs w:val="20"/>
              </w:rPr>
              <w:t>monitor</w:t>
            </w:r>
            <w:r w:rsidR="00C27636" w:rsidRPr="005A0032">
              <w:rPr>
                <w:szCs w:val="20"/>
              </w:rPr>
              <w:t>. High risk and high priority areas should be addressed first</w:t>
            </w:r>
            <w:r w:rsidR="0046623F">
              <w:rPr>
                <w:szCs w:val="20"/>
              </w:rPr>
              <w:t>,</w:t>
            </w:r>
            <w:r w:rsidR="00C27636" w:rsidRPr="005A0032">
              <w:rPr>
                <w:szCs w:val="20"/>
              </w:rPr>
              <w:t xml:space="preserve"> designated based on previous sightings of crabs and the presence of vectors</w:t>
            </w:r>
            <w:r w:rsidR="0046623F">
              <w:rPr>
                <w:szCs w:val="20"/>
              </w:rPr>
              <w:t>,</w:t>
            </w:r>
            <w:r w:rsidR="00C27636" w:rsidRPr="005A0032">
              <w:rPr>
                <w:szCs w:val="20"/>
              </w:rPr>
              <w:t xml:space="preserve"> as well as estuarine areas</w:t>
            </w:r>
            <w:r w:rsidR="00AA0324" w:rsidRPr="005A0032">
              <w:rPr>
                <w:szCs w:val="20"/>
              </w:rPr>
              <w:t>.</w:t>
            </w:r>
          </w:p>
        </w:tc>
      </w:tr>
      <w:tr w:rsidR="00346840" w:rsidRPr="002B6463" w14:paraId="605D2C96" w14:textId="77777777" w:rsidTr="00292074">
        <w:trPr>
          <w:trHeight w:val="2222"/>
        </w:trPr>
        <w:tc>
          <w:tcPr>
            <w:tcW w:w="3295" w:type="dxa"/>
            <w:tcBorders>
              <w:top w:val="single" w:sz="4" w:space="0" w:color="auto"/>
            </w:tcBorders>
            <w:shd w:val="clear" w:color="auto" w:fill="F2DBDB" w:themeFill="accent2" w:themeFillTint="33"/>
          </w:tcPr>
          <w:p w14:paraId="5AF694FE" w14:textId="2D093511" w:rsidR="00346840" w:rsidRPr="0039672E" w:rsidRDefault="00346840" w:rsidP="00A2483D">
            <w:pPr>
              <w:pStyle w:val="NoSpacing"/>
              <w:rPr>
                <w:b/>
              </w:rPr>
            </w:pPr>
            <w:r w:rsidRPr="0039672E">
              <w:rPr>
                <w:b/>
              </w:rPr>
              <w:t xml:space="preserve">Effectiveness of </w:t>
            </w:r>
            <w:r>
              <w:rPr>
                <w:b/>
              </w:rPr>
              <w:t xml:space="preserve">the </w:t>
            </w:r>
            <w:r w:rsidRPr="0039672E">
              <w:rPr>
                <w:b/>
              </w:rPr>
              <w:t>measure</w:t>
            </w:r>
          </w:p>
          <w:p w14:paraId="40BEC5B7" w14:textId="77777777" w:rsidR="00346840" w:rsidRPr="0039672E" w:rsidRDefault="00346840" w:rsidP="00A2483D">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71B3D777" w14:textId="77777777" w:rsidR="00346840" w:rsidRDefault="00346840" w:rsidP="00A2483D">
            <w:pPr>
              <w:pStyle w:val="NoSpacing"/>
              <w:rPr>
                <w:sz w:val="20"/>
              </w:rPr>
            </w:pPr>
          </w:p>
          <w:p w14:paraId="1B5DF634" w14:textId="77777777" w:rsidR="00346840" w:rsidRPr="00DE32F5" w:rsidRDefault="00346840" w:rsidP="00A2483D">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417"/>
              <w:gridCol w:w="425"/>
              <w:gridCol w:w="1418"/>
              <w:gridCol w:w="425"/>
              <w:gridCol w:w="1418"/>
              <w:gridCol w:w="283"/>
              <w:gridCol w:w="1418"/>
              <w:gridCol w:w="425"/>
            </w:tblGrid>
            <w:tr w:rsidR="008B4A4D" w14:paraId="419A903D" w14:textId="5C94CD90" w:rsidTr="003F77F5">
              <w:tc>
                <w:tcPr>
                  <w:tcW w:w="2116" w:type="dxa"/>
                </w:tcPr>
                <w:p w14:paraId="7EBAFA09" w14:textId="77777777" w:rsidR="008B4A4D" w:rsidRPr="002E17F6" w:rsidRDefault="008B4A4D" w:rsidP="00A2483D">
                  <w:pPr>
                    <w:pStyle w:val="NoSpacing"/>
                    <w:rPr>
                      <w:b/>
                      <w:i/>
                      <w:sz w:val="20"/>
                    </w:rPr>
                  </w:pPr>
                  <w:r>
                    <w:rPr>
                      <w:b/>
                      <w:i/>
                      <w:sz w:val="20"/>
                    </w:rPr>
                    <w:t>Effectiveness of measures</w:t>
                  </w:r>
                </w:p>
              </w:tc>
              <w:tc>
                <w:tcPr>
                  <w:tcW w:w="1417" w:type="dxa"/>
                </w:tcPr>
                <w:p w14:paraId="6617209B" w14:textId="77777777" w:rsidR="008B4A4D" w:rsidRDefault="008B4A4D" w:rsidP="00A2483D">
                  <w:pPr>
                    <w:pStyle w:val="NoSpacing"/>
                    <w:jc w:val="right"/>
                    <w:rPr>
                      <w:i/>
                      <w:sz w:val="20"/>
                    </w:rPr>
                  </w:pPr>
                  <w:r>
                    <w:rPr>
                      <w:i/>
                      <w:sz w:val="20"/>
                    </w:rPr>
                    <w:t>Effective</w:t>
                  </w:r>
                </w:p>
              </w:tc>
              <w:tc>
                <w:tcPr>
                  <w:tcW w:w="425" w:type="dxa"/>
                  <w:shd w:val="clear" w:color="auto" w:fill="F2DBDB" w:themeFill="accent2" w:themeFillTint="33"/>
                </w:tcPr>
                <w:p w14:paraId="204AC589" w14:textId="740C40AB" w:rsidR="008B4A4D" w:rsidRDefault="00686B2D" w:rsidP="00A2483D">
                  <w:pPr>
                    <w:pStyle w:val="NoSpacing"/>
                    <w:jc w:val="right"/>
                    <w:rPr>
                      <w:i/>
                      <w:sz w:val="20"/>
                    </w:rPr>
                  </w:pPr>
                  <w:r>
                    <w:rPr>
                      <w:i/>
                      <w:sz w:val="20"/>
                    </w:rPr>
                    <w:t>X</w:t>
                  </w:r>
                </w:p>
              </w:tc>
              <w:tc>
                <w:tcPr>
                  <w:tcW w:w="1418" w:type="dxa"/>
                </w:tcPr>
                <w:p w14:paraId="6F88C978" w14:textId="77777777" w:rsidR="008B4A4D" w:rsidRDefault="008B4A4D" w:rsidP="00A2483D">
                  <w:pPr>
                    <w:pStyle w:val="NoSpacing"/>
                    <w:jc w:val="right"/>
                    <w:rPr>
                      <w:i/>
                      <w:sz w:val="20"/>
                    </w:rPr>
                  </w:pPr>
                  <w:r>
                    <w:rPr>
                      <w:i/>
                      <w:sz w:val="20"/>
                    </w:rPr>
                    <w:t xml:space="preserve">Neutral </w:t>
                  </w:r>
                </w:p>
              </w:tc>
              <w:tc>
                <w:tcPr>
                  <w:tcW w:w="425" w:type="dxa"/>
                  <w:shd w:val="clear" w:color="auto" w:fill="F2DBDB" w:themeFill="accent2" w:themeFillTint="33"/>
                </w:tcPr>
                <w:p w14:paraId="6DA60357" w14:textId="77777777" w:rsidR="008B4A4D" w:rsidRDefault="008B4A4D" w:rsidP="00A2483D">
                  <w:pPr>
                    <w:pStyle w:val="NoSpacing"/>
                    <w:jc w:val="right"/>
                    <w:rPr>
                      <w:i/>
                      <w:sz w:val="20"/>
                    </w:rPr>
                  </w:pPr>
                </w:p>
              </w:tc>
              <w:tc>
                <w:tcPr>
                  <w:tcW w:w="1418" w:type="dxa"/>
                </w:tcPr>
                <w:p w14:paraId="14DB1F76" w14:textId="77777777" w:rsidR="008B4A4D" w:rsidRDefault="008B4A4D" w:rsidP="00A2483D">
                  <w:pPr>
                    <w:pStyle w:val="NoSpacing"/>
                    <w:jc w:val="right"/>
                    <w:rPr>
                      <w:i/>
                      <w:sz w:val="20"/>
                    </w:rPr>
                  </w:pPr>
                  <w:r>
                    <w:rPr>
                      <w:i/>
                      <w:sz w:val="20"/>
                    </w:rPr>
                    <w:t>Ineffective</w:t>
                  </w:r>
                </w:p>
              </w:tc>
              <w:tc>
                <w:tcPr>
                  <w:tcW w:w="283" w:type="dxa"/>
                  <w:shd w:val="clear" w:color="auto" w:fill="F2DBDB" w:themeFill="accent2" w:themeFillTint="33"/>
                </w:tcPr>
                <w:p w14:paraId="3552B946" w14:textId="77777777" w:rsidR="008B4A4D" w:rsidRDefault="008B4A4D" w:rsidP="00A2483D">
                  <w:pPr>
                    <w:pStyle w:val="NoSpacing"/>
                    <w:rPr>
                      <w:i/>
                      <w:sz w:val="20"/>
                    </w:rPr>
                  </w:pPr>
                </w:p>
              </w:tc>
              <w:tc>
                <w:tcPr>
                  <w:tcW w:w="1418" w:type="dxa"/>
                  <w:shd w:val="clear" w:color="auto" w:fill="auto"/>
                </w:tcPr>
                <w:p w14:paraId="4516D5DE" w14:textId="1817753A" w:rsidR="008B4A4D" w:rsidRDefault="008B4A4D" w:rsidP="00A2483D">
                  <w:pPr>
                    <w:pStyle w:val="NoSpacing"/>
                    <w:rPr>
                      <w:i/>
                      <w:sz w:val="20"/>
                    </w:rPr>
                  </w:pPr>
                  <w:r>
                    <w:rPr>
                      <w:i/>
                      <w:sz w:val="20"/>
                    </w:rPr>
                    <w:t>Unknown</w:t>
                  </w:r>
                </w:p>
              </w:tc>
              <w:tc>
                <w:tcPr>
                  <w:tcW w:w="425" w:type="dxa"/>
                  <w:shd w:val="clear" w:color="auto" w:fill="F2DBDB" w:themeFill="accent2" w:themeFillTint="33"/>
                </w:tcPr>
                <w:p w14:paraId="539EEC65" w14:textId="1519D8C2" w:rsidR="008B4A4D" w:rsidRDefault="008B4A4D" w:rsidP="00A2483D">
                  <w:pPr>
                    <w:pStyle w:val="NoSpacing"/>
                    <w:rPr>
                      <w:i/>
                      <w:sz w:val="20"/>
                    </w:rPr>
                  </w:pPr>
                </w:p>
              </w:tc>
            </w:tr>
          </w:tbl>
          <w:p w14:paraId="619C5DE2" w14:textId="77777777" w:rsidR="00346840" w:rsidRDefault="00346840" w:rsidP="00A2483D">
            <w:pPr>
              <w:pStyle w:val="NoSpacing"/>
              <w:rPr>
                <w:i/>
                <w:sz w:val="20"/>
              </w:rPr>
            </w:pPr>
          </w:p>
          <w:p w14:paraId="46CA8C41" w14:textId="77777777" w:rsidR="00346840" w:rsidRDefault="00346840" w:rsidP="00A2483D">
            <w:pPr>
              <w:pStyle w:val="NoSpacing"/>
              <w:rPr>
                <w:sz w:val="20"/>
              </w:rPr>
            </w:pPr>
            <w:r w:rsidRPr="00C856F5">
              <w:rPr>
                <w:i/>
                <w:sz w:val="20"/>
              </w:rPr>
              <w:t>Rationale</w:t>
            </w:r>
            <w:r>
              <w:rPr>
                <w:sz w:val="20"/>
              </w:rPr>
              <w:t>:</w:t>
            </w:r>
          </w:p>
          <w:p w14:paraId="7B511323" w14:textId="2FD63784" w:rsidR="004C14FA" w:rsidRDefault="00C27636" w:rsidP="00A2483D">
            <w:pPr>
              <w:pStyle w:val="NoSpacing"/>
            </w:pPr>
            <w:r w:rsidRPr="005A0032">
              <w:t>This measure has been suggested</w:t>
            </w:r>
            <w:r w:rsidR="00382544">
              <w:t>,</w:t>
            </w:r>
            <w:r w:rsidRPr="005A0032">
              <w:t xml:space="preserve"> </w:t>
            </w:r>
            <w:r w:rsidR="004C1169" w:rsidRPr="005A0032">
              <w:t>but no data are present in the literature on its effectiveness.</w:t>
            </w:r>
            <w:r w:rsidR="00B524C0">
              <w:t xml:space="preserve"> Nevertheless, i</w:t>
            </w:r>
            <w:r w:rsidR="00E15673" w:rsidRPr="005A0032">
              <w:t>t has been useful to detect new alien crayfish and fish</w:t>
            </w:r>
            <w:r w:rsidR="00AA269D" w:rsidRPr="005A0032">
              <w:t xml:space="preserve"> </w:t>
            </w:r>
            <w:r w:rsidR="00382544">
              <w:t xml:space="preserve">species </w:t>
            </w:r>
            <w:r w:rsidR="00AA269D" w:rsidRPr="005A0032">
              <w:t>(</w:t>
            </w:r>
            <w:r w:rsidR="00382544">
              <w:t xml:space="preserve">author’s </w:t>
            </w:r>
            <w:r w:rsidR="00AA269D" w:rsidRPr="005A0032">
              <w:t xml:space="preserve">pers. </w:t>
            </w:r>
            <w:r w:rsidR="00382544">
              <w:t>obs</w:t>
            </w:r>
            <w:r w:rsidR="00AA269D" w:rsidRPr="005A0032">
              <w:t xml:space="preserve">.). </w:t>
            </w:r>
            <w:r w:rsidR="00C62E71" w:rsidRPr="005A0032">
              <w:t>In Italy, a</w:t>
            </w:r>
            <w:r w:rsidR="00AA269D" w:rsidRPr="005A0032">
              <w:t xml:space="preserve"> net</w:t>
            </w:r>
            <w:r w:rsidR="00C62E71" w:rsidRPr="005A0032">
              <w:t xml:space="preserve">work composed by beekeepers has </w:t>
            </w:r>
            <w:r w:rsidR="00382544">
              <w:t>prove</w:t>
            </w:r>
            <w:r w:rsidR="00B524C0">
              <w:t>n</w:t>
            </w:r>
            <w:r w:rsidR="00382544">
              <w:t xml:space="preserve"> </w:t>
            </w:r>
            <w:r w:rsidR="00C62E71" w:rsidRPr="005A0032">
              <w:t xml:space="preserve">effective in </w:t>
            </w:r>
            <w:r w:rsidR="004C14FA">
              <w:t>monitoring</w:t>
            </w:r>
            <w:r w:rsidR="004C14FA" w:rsidRPr="005A0032">
              <w:t xml:space="preserve"> </w:t>
            </w:r>
            <w:r w:rsidR="00C62E71" w:rsidRPr="005A0032">
              <w:t xml:space="preserve">the spread of </w:t>
            </w:r>
            <w:r w:rsidR="00382544">
              <w:t xml:space="preserve">the </w:t>
            </w:r>
            <w:r w:rsidR="00C62E71" w:rsidRPr="005A0032">
              <w:t>Asian hornet</w:t>
            </w:r>
            <w:r w:rsidR="000C1BE5">
              <w:t>,</w:t>
            </w:r>
            <w:r w:rsidR="00C62E71" w:rsidRPr="005A0032">
              <w:t xml:space="preserve"> </w:t>
            </w:r>
            <w:r w:rsidR="00C62E71" w:rsidRPr="005A0032">
              <w:rPr>
                <w:i/>
              </w:rPr>
              <w:t xml:space="preserve">Vespa </w:t>
            </w:r>
            <w:proofErr w:type="spellStart"/>
            <w:r w:rsidR="00C62E71" w:rsidRPr="005A0032">
              <w:rPr>
                <w:i/>
              </w:rPr>
              <w:t>velutina</w:t>
            </w:r>
            <w:proofErr w:type="spellEnd"/>
            <w:r w:rsidR="00C62E71" w:rsidRPr="005A0032">
              <w:t xml:space="preserve"> </w:t>
            </w:r>
            <w:proofErr w:type="spellStart"/>
            <w:r w:rsidR="00382544" w:rsidRPr="00141C2B">
              <w:rPr>
                <w:i/>
              </w:rPr>
              <w:t>nigrithorax</w:t>
            </w:r>
            <w:proofErr w:type="spellEnd"/>
            <w:r w:rsidR="00382544" w:rsidRPr="00141C2B">
              <w:t xml:space="preserve"> </w:t>
            </w:r>
            <w:r w:rsidR="00C62E71" w:rsidRPr="00141C2B">
              <w:t>(</w:t>
            </w:r>
            <w:proofErr w:type="spellStart"/>
            <w:r w:rsidR="004C14FA" w:rsidRPr="00141C2B">
              <w:t>Lioy</w:t>
            </w:r>
            <w:proofErr w:type="spellEnd"/>
            <w:r w:rsidR="004C14FA" w:rsidRPr="00141C2B">
              <w:t xml:space="preserve"> et al., 2019</w:t>
            </w:r>
            <w:r w:rsidR="00C62E71" w:rsidRPr="00141C2B">
              <w:t>).</w:t>
            </w:r>
            <w:r w:rsidR="00686B2D" w:rsidRPr="00141C2B">
              <w:t xml:space="preserve"> Based</w:t>
            </w:r>
            <w:r w:rsidR="00686B2D" w:rsidRPr="005A0032">
              <w:t xml:space="preserve"> on these experiences, we could expect </w:t>
            </w:r>
            <w:r w:rsidR="00382544">
              <w:t xml:space="preserve">this measure </w:t>
            </w:r>
            <w:r w:rsidR="005954FE" w:rsidRPr="005A0032">
              <w:t>to be effective.</w:t>
            </w:r>
            <w:r w:rsidR="005D0EDE">
              <w:t xml:space="preserve"> </w:t>
            </w:r>
          </w:p>
          <w:p w14:paraId="63737BB1" w14:textId="20E92D62" w:rsidR="005A0032" w:rsidRPr="002B6463" w:rsidRDefault="005A0032" w:rsidP="00A2483D">
            <w:pPr>
              <w:pStyle w:val="NoSpacing"/>
              <w:rPr>
                <w:sz w:val="20"/>
              </w:rPr>
            </w:pPr>
          </w:p>
        </w:tc>
      </w:tr>
      <w:tr w:rsidR="00346840" w14:paraId="40D586EC" w14:textId="77777777" w:rsidTr="00292074">
        <w:tc>
          <w:tcPr>
            <w:tcW w:w="3295" w:type="dxa"/>
            <w:shd w:val="clear" w:color="auto" w:fill="F2DBDB" w:themeFill="accent2" w:themeFillTint="33"/>
          </w:tcPr>
          <w:p w14:paraId="718456EC" w14:textId="77777777" w:rsidR="00346840" w:rsidRPr="0039672E" w:rsidRDefault="00346840" w:rsidP="00A2483D">
            <w:pPr>
              <w:pStyle w:val="NoSpacing"/>
              <w:rPr>
                <w:b/>
              </w:rPr>
            </w:pPr>
            <w:r w:rsidRPr="0039672E">
              <w:rPr>
                <w:b/>
              </w:rPr>
              <w:t>Effort required</w:t>
            </w:r>
          </w:p>
          <w:p w14:paraId="7D07932B" w14:textId="5D3BA1C8" w:rsidR="00346840" w:rsidRPr="002B6463" w:rsidRDefault="00346840" w:rsidP="00A2483D">
            <w:pPr>
              <w:pStyle w:val="NoSpacing"/>
              <w:rPr>
                <w:sz w:val="20"/>
              </w:rPr>
            </w:pPr>
            <w:r w:rsidRPr="00EA6987">
              <w:rPr>
                <w:sz w:val="20"/>
              </w:rPr>
              <w:t>e.g. period of time over which measure need</w:t>
            </w:r>
            <w:r w:rsidR="003165ED">
              <w:rPr>
                <w:sz w:val="20"/>
              </w:rPr>
              <w:t>s</w:t>
            </w:r>
            <w:r w:rsidRPr="00EA6987">
              <w:rPr>
                <w:sz w:val="20"/>
              </w:rPr>
              <w:t xml:space="preserve"> to be applied to have results</w:t>
            </w:r>
          </w:p>
        </w:tc>
        <w:tc>
          <w:tcPr>
            <w:tcW w:w="10653" w:type="dxa"/>
          </w:tcPr>
          <w:p w14:paraId="26A5C724" w14:textId="3C2349D4" w:rsidR="00346840" w:rsidRPr="002B6463" w:rsidRDefault="007B5CF3" w:rsidP="00A2483D">
            <w:pPr>
              <w:pStyle w:val="NoSpacing"/>
              <w:rPr>
                <w:sz w:val="20"/>
              </w:rPr>
            </w:pPr>
            <w:r w:rsidRPr="005A0032">
              <w:t>S</w:t>
            </w:r>
            <w:r w:rsidR="00AA0324" w:rsidRPr="005A0032">
              <w:t xml:space="preserve">urveillance </w:t>
            </w:r>
            <w:r w:rsidR="00DA60E4" w:rsidRPr="005A0032">
              <w:t xml:space="preserve">effort should </w:t>
            </w:r>
            <w:r w:rsidR="00AA0324" w:rsidRPr="005A0032">
              <w:t>be high</w:t>
            </w:r>
            <w:r w:rsidR="000C1BE5">
              <w:t>,</w:t>
            </w:r>
            <w:r w:rsidR="00AA0324" w:rsidRPr="005A0032">
              <w:t xml:space="preserve"> </w:t>
            </w:r>
            <w:r w:rsidR="000C1BE5">
              <w:t xml:space="preserve">in order </w:t>
            </w:r>
            <w:r w:rsidR="00AA0324" w:rsidRPr="005A0032">
              <w:t xml:space="preserve">to have </w:t>
            </w:r>
            <w:r w:rsidR="000C1BE5">
              <w:t xml:space="preserve">a </w:t>
            </w:r>
            <w:r w:rsidR="00AA0324" w:rsidRPr="005A0032">
              <w:t xml:space="preserve">high certainty of locating rare or recently </w:t>
            </w:r>
            <w:r w:rsidR="00DA60E4" w:rsidRPr="005A0032">
              <w:t>arrived</w:t>
            </w:r>
            <w:r w:rsidR="000C1BE5">
              <w:t>,</w:t>
            </w:r>
            <w:r w:rsidR="00DA60E4" w:rsidRPr="005A0032">
              <w:t xml:space="preserve"> and established</w:t>
            </w:r>
            <w:r w:rsidR="000C1BE5">
              <w:t>,</w:t>
            </w:r>
            <w:r w:rsidR="00AA0324" w:rsidRPr="005A0032">
              <w:t xml:space="preserve"> species</w:t>
            </w:r>
            <w:r w:rsidR="00DA60E4" w:rsidRPr="005A0032">
              <w:t xml:space="preserve">. It can be applied year-round and be part of routine activities of the </w:t>
            </w:r>
            <w:r w:rsidR="00DC014D" w:rsidRPr="005A0032">
              <w:t xml:space="preserve">people involved in the </w:t>
            </w:r>
            <w:r w:rsidR="00DA60E4" w:rsidRPr="005A0032">
              <w:t xml:space="preserve">network. </w:t>
            </w:r>
          </w:p>
        </w:tc>
      </w:tr>
      <w:tr w:rsidR="00346840" w14:paraId="2AE5CDCC" w14:textId="77777777" w:rsidTr="00292074">
        <w:tc>
          <w:tcPr>
            <w:tcW w:w="3295" w:type="dxa"/>
            <w:shd w:val="clear" w:color="auto" w:fill="F2DBDB" w:themeFill="accent2" w:themeFillTint="33"/>
          </w:tcPr>
          <w:p w14:paraId="5AA5D337" w14:textId="77777777" w:rsidR="00346840" w:rsidRPr="0039672E" w:rsidRDefault="00346840" w:rsidP="00A2483D">
            <w:pPr>
              <w:pStyle w:val="NoSpacing"/>
              <w:rPr>
                <w:b/>
                <w:sz w:val="24"/>
                <w:vertAlign w:val="superscript"/>
              </w:rPr>
            </w:pPr>
            <w:r w:rsidRPr="0039672E">
              <w:rPr>
                <w:b/>
              </w:rPr>
              <w:lastRenderedPageBreak/>
              <w:t>Resources required</w:t>
            </w:r>
            <w:r>
              <w:rPr>
                <w:b/>
              </w:rPr>
              <w:t xml:space="preserve"> </w:t>
            </w:r>
            <w:r>
              <w:rPr>
                <w:b/>
                <w:vertAlign w:val="superscript"/>
              </w:rPr>
              <w:t>1</w:t>
            </w:r>
          </w:p>
          <w:p w14:paraId="26A4C9C3" w14:textId="77777777" w:rsidR="00346840" w:rsidRPr="002B6463" w:rsidRDefault="00346840" w:rsidP="00A2483D">
            <w:pPr>
              <w:pStyle w:val="NoSpacing"/>
              <w:rPr>
                <w:sz w:val="20"/>
              </w:rPr>
            </w:pPr>
            <w:r>
              <w:rPr>
                <w:sz w:val="20"/>
              </w:rPr>
              <w:t>e.g. cost, staff, equipment etc.</w:t>
            </w:r>
          </w:p>
        </w:tc>
        <w:tc>
          <w:tcPr>
            <w:tcW w:w="10653" w:type="dxa"/>
          </w:tcPr>
          <w:p w14:paraId="237C5735" w14:textId="6604D9B5" w:rsidR="00346840" w:rsidRDefault="002A13ED" w:rsidP="00A2483D">
            <w:pPr>
              <w:pStyle w:val="NoSpacing"/>
            </w:pPr>
            <w:r w:rsidRPr="005A0032">
              <w:t xml:space="preserve">Personnel involved are </w:t>
            </w:r>
            <w:r w:rsidR="001F3DE7" w:rsidRPr="005A0032">
              <w:t xml:space="preserve">usually </w:t>
            </w:r>
            <w:r w:rsidRPr="005A0032">
              <w:t xml:space="preserve">mainly volunteers; </w:t>
            </w:r>
            <w:r w:rsidR="00CC28DD" w:rsidRPr="005A0032">
              <w:t>sometime</w:t>
            </w:r>
            <w:r w:rsidR="00DE616D">
              <w:t>s</w:t>
            </w:r>
            <w:r w:rsidR="00CC28DD" w:rsidRPr="005A0032">
              <w:t xml:space="preserve">, a sort of incentive could be provided </w:t>
            </w:r>
            <w:r w:rsidR="00A93E0E" w:rsidRPr="005A0032">
              <w:t xml:space="preserve">or part of the equipment (e.g. traps, nets) </w:t>
            </w:r>
            <w:r w:rsidR="00F05437" w:rsidRPr="005A0032">
              <w:t xml:space="preserve">could be paid </w:t>
            </w:r>
            <w:r w:rsidR="00DE616D">
              <w:t xml:space="preserve">for, </w:t>
            </w:r>
            <w:r w:rsidR="00CC28DD" w:rsidRPr="005A0032">
              <w:t>to facilitate their participation.</w:t>
            </w:r>
            <w:r w:rsidR="00C00315" w:rsidRPr="005A0032">
              <w:t xml:space="preserve"> Dedicated professional</w:t>
            </w:r>
            <w:r w:rsidR="00DE616D">
              <w:t>s</w:t>
            </w:r>
            <w:r w:rsidR="00C00315" w:rsidRPr="005A0032">
              <w:t xml:space="preserve"> could </w:t>
            </w:r>
            <w:r w:rsidR="00DE616D">
              <w:t xml:space="preserve">also </w:t>
            </w:r>
            <w:r w:rsidR="00C00315" w:rsidRPr="005A0032">
              <w:t xml:space="preserve">be </w:t>
            </w:r>
            <w:r w:rsidR="00412A10" w:rsidRPr="005A0032">
              <w:t>employed.</w:t>
            </w:r>
            <w:r w:rsidR="00A93E0E" w:rsidRPr="005A0032">
              <w:t xml:space="preserve"> </w:t>
            </w:r>
          </w:p>
          <w:p w14:paraId="1ADCFD15" w14:textId="5CFE5128" w:rsidR="005A0032" w:rsidRPr="002B6463" w:rsidRDefault="005A0032" w:rsidP="00A2483D">
            <w:pPr>
              <w:pStyle w:val="NoSpacing"/>
              <w:rPr>
                <w:sz w:val="20"/>
              </w:rPr>
            </w:pPr>
          </w:p>
        </w:tc>
      </w:tr>
      <w:tr w:rsidR="00346840" w:rsidRPr="002B6463" w14:paraId="4F797CD5" w14:textId="77777777" w:rsidTr="00292074">
        <w:tc>
          <w:tcPr>
            <w:tcW w:w="3295" w:type="dxa"/>
            <w:shd w:val="clear" w:color="auto" w:fill="F2DBDB" w:themeFill="accent2" w:themeFillTint="33"/>
          </w:tcPr>
          <w:p w14:paraId="4D14C34E" w14:textId="77777777" w:rsidR="00346840" w:rsidRPr="0039672E" w:rsidRDefault="00346840" w:rsidP="00A2483D">
            <w:pPr>
              <w:pStyle w:val="NoSpacing"/>
              <w:rPr>
                <w:b/>
              </w:rPr>
            </w:pPr>
            <w:r w:rsidRPr="0039672E">
              <w:rPr>
                <w:b/>
              </w:rPr>
              <w:t>Side effects (incl. potential)</w:t>
            </w:r>
            <w:r>
              <w:rPr>
                <w:b/>
              </w:rPr>
              <w:t xml:space="preserve"> – both positive and negative</w:t>
            </w:r>
          </w:p>
          <w:p w14:paraId="30956A05" w14:textId="77777777" w:rsidR="00346840" w:rsidRDefault="00346840" w:rsidP="00A2483D">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6F10FDC2" w14:textId="77777777" w:rsidR="00346840" w:rsidRDefault="00346840" w:rsidP="00A2483D">
            <w:pPr>
              <w:pStyle w:val="NoSpacing"/>
              <w:rPr>
                <w:b/>
              </w:rPr>
            </w:pPr>
          </w:p>
          <w:p w14:paraId="79E3E14D" w14:textId="77777777" w:rsidR="00346840" w:rsidRPr="0039672E" w:rsidRDefault="00346840" w:rsidP="00A2483D">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4AAD5118" w14:textId="77777777" w:rsidTr="00292074">
              <w:tc>
                <w:tcPr>
                  <w:tcW w:w="2116" w:type="dxa"/>
                </w:tcPr>
                <w:p w14:paraId="3647417B" w14:textId="77777777" w:rsidR="00346840" w:rsidRPr="002E17F6" w:rsidRDefault="00346840" w:rsidP="00A2483D">
                  <w:pPr>
                    <w:pStyle w:val="NoSpacing"/>
                    <w:rPr>
                      <w:b/>
                      <w:i/>
                      <w:sz w:val="20"/>
                    </w:rPr>
                  </w:pPr>
                  <w:r w:rsidRPr="002E17F6">
                    <w:rPr>
                      <w:b/>
                      <w:i/>
                      <w:sz w:val="20"/>
                    </w:rPr>
                    <w:t>Environmental</w:t>
                  </w:r>
                  <w:r>
                    <w:rPr>
                      <w:b/>
                      <w:i/>
                      <w:sz w:val="20"/>
                    </w:rPr>
                    <w:t xml:space="preserve"> effects</w:t>
                  </w:r>
                </w:p>
              </w:tc>
              <w:tc>
                <w:tcPr>
                  <w:tcW w:w="1701" w:type="dxa"/>
                </w:tcPr>
                <w:p w14:paraId="66A7E4EC" w14:textId="77777777" w:rsidR="00346840" w:rsidRDefault="00346840" w:rsidP="00A2483D">
                  <w:pPr>
                    <w:pStyle w:val="NoSpacing"/>
                    <w:jc w:val="right"/>
                    <w:rPr>
                      <w:i/>
                      <w:sz w:val="20"/>
                    </w:rPr>
                  </w:pPr>
                  <w:r>
                    <w:rPr>
                      <w:i/>
                      <w:sz w:val="20"/>
                    </w:rPr>
                    <w:t>Positive</w:t>
                  </w:r>
                </w:p>
              </w:tc>
              <w:tc>
                <w:tcPr>
                  <w:tcW w:w="425" w:type="dxa"/>
                  <w:shd w:val="clear" w:color="auto" w:fill="F2DBDB" w:themeFill="accent2" w:themeFillTint="33"/>
                </w:tcPr>
                <w:p w14:paraId="52061863" w14:textId="28ECDB09" w:rsidR="00346840" w:rsidRDefault="00C2388D" w:rsidP="00A2483D">
                  <w:pPr>
                    <w:pStyle w:val="NoSpacing"/>
                    <w:jc w:val="right"/>
                    <w:rPr>
                      <w:i/>
                      <w:sz w:val="20"/>
                    </w:rPr>
                  </w:pPr>
                  <w:r>
                    <w:rPr>
                      <w:i/>
                      <w:sz w:val="20"/>
                    </w:rPr>
                    <w:t>X</w:t>
                  </w:r>
                </w:p>
              </w:tc>
              <w:tc>
                <w:tcPr>
                  <w:tcW w:w="2268" w:type="dxa"/>
                </w:tcPr>
                <w:p w14:paraId="4EE261F5" w14:textId="77777777" w:rsidR="00346840" w:rsidRDefault="00346840" w:rsidP="00A2483D">
                  <w:pPr>
                    <w:pStyle w:val="NoSpacing"/>
                    <w:jc w:val="right"/>
                    <w:rPr>
                      <w:i/>
                      <w:sz w:val="20"/>
                    </w:rPr>
                  </w:pPr>
                  <w:r>
                    <w:rPr>
                      <w:i/>
                      <w:sz w:val="20"/>
                    </w:rPr>
                    <w:t>Neutral or mixed</w:t>
                  </w:r>
                </w:p>
              </w:tc>
              <w:tc>
                <w:tcPr>
                  <w:tcW w:w="425" w:type="dxa"/>
                  <w:shd w:val="clear" w:color="auto" w:fill="F2DBDB" w:themeFill="accent2" w:themeFillTint="33"/>
                </w:tcPr>
                <w:p w14:paraId="5DD4E598" w14:textId="30D41C5D" w:rsidR="00346840" w:rsidRDefault="00346840" w:rsidP="00A2483D">
                  <w:pPr>
                    <w:pStyle w:val="NoSpacing"/>
                    <w:jc w:val="right"/>
                    <w:rPr>
                      <w:i/>
                      <w:sz w:val="20"/>
                    </w:rPr>
                  </w:pPr>
                </w:p>
              </w:tc>
              <w:tc>
                <w:tcPr>
                  <w:tcW w:w="2002" w:type="dxa"/>
                </w:tcPr>
                <w:p w14:paraId="4B78E025" w14:textId="77777777" w:rsidR="00346840" w:rsidRDefault="00346840" w:rsidP="00A2483D">
                  <w:pPr>
                    <w:pStyle w:val="NoSpacing"/>
                    <w:jc w:val="right"/>
                    <w:rPr>
                      <w:i/>
                      <w:sz w:val="20"/>
                    </w:rPr>
                  </w:pPr>
                  <w:r>
                    <w:rPr>
                      <w:i/>
                      <w:sz w:val="20"/>
                    </w:rPr>
                    <w:t>Negative</w:t>
                  </w:r>
                </w:p>
              </w:tc>
              <w:tc>
                <w:tcPr>
                  <w:tcW w:w="408" w:type="dxa"/>
                  <w:shd w:val="clear" w:color="auto" w:fill="F2DBDB" w:themeFill="accent2" w:themeFillTint="33"/>
                </w:tcPr>
                <w:p w14:paraId="773BC2CE" w14:textId="77777777" w:rsidR="00346840" w:rsidRDefault="00346840" w:rsidP="00A2483D">
                  <w:pPr>
                    <w:pStyle w:val="NoSpacing"/>
                    <w:rPr>
                      <w:i/>
                      <w:sz w:val="20"/>
                    </w:rPr>
                  </w:pPr>
                </w:p>
              </w:tc>
            </w:tr>
            <w:tr w:rsidR="00346840" w14:paraId="0742BA12" w14:textId="77777777" w:rsidTr="00292074">
              <w:tc>
                <w:tcPr>
                  <w:tcW w:w="2116" w:type="dxa"/>
                </w:tcPr>
                <w:p w14:paraId="760CF416" w14:textId="77777777" w:rsidR="00346840" w:rsidRPr="002E17F6" w:rsidRDefault="00346840" w:rsidP="00A2483D">
                  <w:pPr>
                    <w:pStyle w:val="NoSpacing"/>
                    <w:rPr>
                      <w:b/>
                      <w:i/>
                      <w:sz w:val="20"/>
                    </w:rPr>
                  </w:pPr>
                  <w:r w:rsidRPr="002E17F6">
                    <w:rPr>
                      <w:b/>
                      <w:i/>
                      <w:sz w:val="20"/>
                    </w:rPr>
                    <w:t>Social</w:t>
                  </w:r>
                  <w:r>
                    <w:rPr>
                      <w:b/>
                      <w:i/>
                      <w:sz w:val="20"/>
                    </w:rPr>
                    <w:t xml:space="preserve"> effects</w:t>
                  </w:r>
                </w:p>
              </w:tc>
              <w:tc>
                <w:tcPr>
                  <w:tcW w:w="1701" w:type="dxa"/>
                </w:tcPr>
                <w:p w14:paraId="69FCDF2F" w14:textId="77777777" w:rsidR="00346840" w:rsidRDefault="00346840" w:rsidP="00A2483D">
                  <w:pPr>
                    <w:pStyle w:val="NoSpacing"/>
                    <w:jc w:val="right"/>
                    <w:rPr>
                      <w:i/>
                      <w:sz w:val="20"/>
                    </w:rPr>
                  </w:pPr>
                  <w:r>
                    <w:rPr>
                      <w:i/>
                      <w:sz w:val="20"/>
                    </w:rPr>
                    <w:t>Positive</w:t>
                  </w:r>
                </w:p>
              </w:tc>
              <w:tc>
                <w:tcPr>
                  <w:tcW w:w="425" w:type="dxa"/>
                  <w:shd w:val="clear" w:color="auto" w:fill="F2DBDB" w:themeFill="accent2" w:themeFillTint="33"/>
                </w:tcPr>
                <w:p w14:paraId="250AFD32" w14:textId="151855AA" w:rsidR="00346840" w:rsidRDefault="00C2388D" w:rsidP="00A2483D">
                  <w:pPr>
                    <w:pStyle w:val="NoSpacing"/>
                    <w:jc w:val="right"/>
                    <w:rPr>
                      <w:i/>
                      <w:sz w:val="20"/>
                    </w:rPr>
                  </w:pPr>
                  <w:r>
                    <w:rPr>
                      <w:i/>
                      <w:sz w:val="20"/>
                    </w:rPr>
                    <w:t>X</w:t>
                  </w:r>
                </w:p>
              </w:tc>
              <w:tc>
                <w:tcPr>
                  <w:tcW w:w="2268" w:type="dxa"/>
                </w:tcPr>
                <w:p w14:paraId="31A028F4" w14:textId="77777777" w:rsidR="00346840" w:rsidRDefault="00346840" w:rsidP="00A2483D">
                  <w:pPr>
                    <w:pStyle w:val="NoSpacing"/>
                    <w:jc w:val="right"/>
                    <w:rPr>
                      <w:i/>
                      <w:sz w:val="20"/>
                    </w:rPr>
                  </w:pPr>
                  <w:r>
                    <w:rPr>
                      <w:i/>
                      <w:sz w:val="20"/>
                    </w:rPr>
                    <w:t>Neutral or mixed</w:t>
                  </w:r>
                </w:p>
              </w:tc>
              <w:tc>
                <w:tcPr>
                  <w:tcW w:w="425" w:type="dxa"/>
                  <w:shd w:val="clear" w:color="auto" w:fill="F2DBDB" w:themeFill="accent2" w:themeFillTint="33"/>
                </w:tcPr>
                <w:p w14:paraId="684FDE8C" w14:textId="5450E729" w:rsidR="00346840" w:rsidRDefault="00346840" w:rsidP="00A2483D">
                  <w:pPr>
                    <w:pStyle w:val="NoSpacing"/>
                    <w:jc w:val="right"/>
                    <w:rPr>
                      <w:i/>
                      <w:sz w:val="20"/>
                    </w:rPr>
                  </w:pPr>
                </w:p>
              </w:tc>
              <w:tc>
                <w:tcPr>
                  <w:tcW w:w="2002" w:type="dxa"/>
                </w:tcPr>
                <w:p w14:paraId="5B198CC1" w14:textId="77777777" w:rsidR="00346840" w:rsidRDefault="00346840" w:rsidP="00A2483D">
                  <w:pPr>
                    <w:pStyle w:val="NoSpacing"/>
                    <w:jc w:val="right"/>
                    <w:rPr>
                      <w:i/>
                      <w:sz w:val="20"/>
                    </w:rPr>
                  </w:pPr>
                  <w:r>
                    <w:rPr>
                      <w:i/>
                      <w:sz w:val="20"/>
                    </w:rPr>
                    <w:t>Negative</w:t>
                  </w:r>
                </w:p>
              </w:tc>
              <w:tc>
                <w:tcPr>
                  <w:tcW w:w="408" w:type="dxa"/>
                  <w:shd w:val="clear" w:color="auto" w:fill="F2DBDB" w:themeFill="accent2" w:themeFillTint="33"/>
                </w:tcPr>
                <w:p w14:paraId="7E39B787" w14:textId="77777777" w:rsidR="00346840" w:rsidRDefault="00346840" w:rsidP="00A2483D">
                  <w:pPr>
                    <w:pStyle w:val="NoSpacing"/>
                    <w:rPr>
                      <w:i/>
                      <w:sz w:val="20"/>
                    </w:rPr>
                  </w:pPr>
                </w:p>
              </w:tc>
            </w:tr>
            <w:tr w:rsidR="00346840" w14:paraId="3CF062E5" w14:textId="77777777" w:rsidTr="00292074">
              <w:tc>
                <w:tcPr>
                  <w:tcW w:w="2116" w:type="dxa"/>
                </w:tcPr>
                <w:p w14:paraId="25E8FA1D" w14:textId="77777777" w:rsidR="00346840" w:rsidRPr="002E17F6" w:rsidRDefault="00346840" w:rsidP="00A2483D">
                  <w:pPr>
                    <w:pStyle w:val="NoSpacing"/>
                    <w:rPr>
                      <w:b/>
                      <w:i/>
                      <w:sz w:val="20"/>
                    </w:rPr>
                  </w:pPr>
                  <w:r w:rsidRPr="002E17F6">
                    <w:rPr>
                      <w:b/>
                      <w:i/>
                      <w:sz w:val="20"/>
                    </w:rPr>
                    <w:t>Economic</w:t>
                  </w:r>
                  <w:r>
                    <w:rPr>
                      <w:b/>
                      <w:i/>
                      <w:sz w:val="20"/>
                    </w:rPr>
                    <w:t xml:space="preserve"> effects</w:t>
                  </w:r>
                </w:p>
              </w:tc>
              <w:tc>
                <w:tcPr>
                  <w:tcW w:w="1701" w:type="dxa"/>
                </w:tcPr>
                <w:p w14:paraId="75CFFF80" w14:textId="77777777" w:rsidR="00346840" w:rsidRDefault="00346840" w:rsidP="00A2483D">
                  <w:pPr>
                    <w:pStyle w:val="NoSpacing"/>
                    <w:jc w:val="right"/>
                    <w:rPr>
                      <w:i/>
                      <w:sz w:val="20"/>
                    </w:rPr>
                  </w:pPr>
                  <w:r>
                    <w:rPr>
                      <w:i/>
                      <w:sz w:val="20"/>
                    </w:rPr>
                    <w:t>Positive</w:t>
                  </w:r>
                </w:p>
              </w:tc>
              <w:tc>
                <w:tcPr>
                  <w:tcW w:w="425" w:type="dxa"/>
                  <w:shd w:val="clear" w:color="auto" w:fill="F2DBDB" w:themeFill="accent2" w:themeFillTint="33"/>
                </w:tcPr>
                <w:p w14:paraId="4789D0F4" w14:textId="77777777" w:rsidR="00346840" w:rsidRDefault="00346840" w:rsidP="00A2483D">
                  <w:pPr>
                    <w:pStyle w:val="NoSpacing"/>
                    <w:jc w:val="right"/>
                    <w:rPr>
                      <w:i/>
                      <w:sz w:val="20"/>
                    </w:rPr>
                  </w:pPr>
                </w:p>
              </w:tc>
              <w:tc>
                <w:tcPr>
                  <w:tcW w:w="2268" w:type="dxa"/>
                </w:tcPr>
                <w:p w14:paraId="0D21F96F" w14:textId="77777777" w:rsidR="00346840" w:rsidRDefault="00346840" w:rsidP="00A2483D">
                  <w:pPr>
                    <w:pStyle w:val="NoSpacing"/>
                    <w:jc w:val="right"/>
                    <w:rPr>
                      <w:i/>
                      <w:sz w:val="20"/>
                    </w:rPr>
                  </w:pPr>
                  <w:r>
                    <w:rPr>
                      <w:i/>
                      <w:sz w:val="20"/>
                    </w:rPr>
                    <w:t>Neutral or mixed</w:t>
                  </w:r>
                </w:p>
              </w:tc>
              <w:tc>
                <w:tcPr>
                  <w:tcW w:w="425" w:type="dxa"/>
                  <w:shd w:val="clear" w:color="auto" w:fill="F2DBDB" w:themeFill="accent2" w:themeFillTint="33"/>
                </w:tcPr>
                <w:p w14:paraId="6B6AD42A" w14:textId="77B25CED" w:rsidR="00346840" w:rsidRDefault="00044685" w:rsidP="00A2483D">
                  <w:pPr>
                    <w:pStyle w:val="NoSpacing"/>
                    <w:jc w:val="right"/>
                    <w:rPr>
                      <w:i/>
                      <w:sz w:val="20"/>
                    </w:rPr>
                  </w:pPr>
                  <w:r>
                    <w:rPr>
                      <w:i/>
                      <w:sz w:val="20"/>
                    </w:rPr>
                    <w:t>X</w:t>
                  </w:r>
                </w:p>
              </w:tc>
              <w:tc>
                <w:tcPr>
                  <w:tcW w:w="2002" w:type="dxa"/>
                </w:tcPr>
                <w:p w14:paraId="7C5A3BFA" w14:textId="77777777" w:rsidR="00346840" w:rsidRDefault="00346840" w:rsidP="00A2483D">
                  <w:pPr>
                    <w:pStyle w:val="NoSpacing"/>
                    <w:jc w:val="right"/>
                    <w:rPr>
                      <w:i/>
                      <w:sz w:val="20"/>
                    </w:rPr>
                  </w:pPr>
                  <w:r>
                    <w:rPr>
                      <w:i/>
                      <w:sz w:val="20"/>
                    </w:rPr>
                    <w:t>Negative</w:t>
                  </w:r>
                </w:p>
              </w:tc>
              <w:tc>
                <w:tcPr>
                  <w:tcW w:w="408" w:type="dxa"/>
                  <w:shd w:val="clear" w:color="auto" w:fill="F2DBDB" w:themeFill="accent2" w:themeFillTint="33"/>
                </w:tcPr>
                <w:p w14:paraId="2CBBD53D" w14:textId="77777777" w:rsidR="00346840" w:rsidRDefault="00346840" w:rsidP="00A2483D">
                  <w:pPr>
                    <w:pStyle w:val="NoSpacing"/>
                    <w:rPr>
                      <w:i/>
                      <w:sz w:val="20"/>
                    </w:rPr>
                  </w:pPr>
                </w:p>
              </w:tc>
            </w:tr>
          </w:tbl>
          <w:p w14:paraId="6D0ECDF2" w14:textId="77777777" w:rsidR="00346840" w:rsidRDefault="00346840" w:rsidP="00A2483D">
            <w:pPr>
              <w:pStyle w:val="NoSpacing"/>
              <w:rPr>
                <w:i/>
                <w:sz w:val="20"/>
              </w:rPr>
            </w:pPr>
          </w:p>
          <w:p w14:paraId="6BFFA630" w14:textId="77777777" w:rsidR="00346840" w:rsidRDefault="00346840" w:rsidP="00A2483D">
            <w:pPr>
              <w:pStyle w:val="NoSpacing"/>
              <w:rPr>
                <w:sz w:val="20"/>
              </w:rPr>
            </w:pPr>
            <w:r w:rsidRPr="00C856F5">
              <w:rPr>
                <w:i/>
                <w:sz w:val="20"/>
              </w:rPr>
              <w:t>Rationale</w:t>
            </w:r>
            <w:r>
              <w:rPr>
                <w:sz w:val="20"/>
              </w:rPr>
              <w:t>:</w:t>
            </w:r>
          </w:p>
          <w:p w14:paraId="49976138" w14:textId="31FE9098" w:rsidR="00346840" w:rsidRPr="002B6463" w:rsidRDefault="00044685" w:rsidP="00C2388D">
            <w:pPr>
              <w:pStyle w:val="NoSpacing"/>
              <w:rPr>
                <w:sz w:val="20"/>
              </w:rPr>
            </w:pPr>
            <w:r w:rsidRPr="005A0032">
              <w:t xml:space="preserve">No negative side effects are expected from this measure. On the contrary, as positive </w:t>
            </w:r>
            <w:r w:rsidR="00C2388D">
              <w:t xml:space="preserve">side </w:t>
            </w:r>
            <w:r w:rsidRPr="005A0032">
              <w:t>e</w:t>
            </w:r>
            <w:r w:rsidR="00C76375" w:rsidRPr="005A0032">
              <w:t>ffect</w:t>
            </w:r>
            <w:r w:rsidR="00C2388D">
              <w:t>s</w:t>
            </w:r>
            <w:r w:rsidR="00C76375" w:rsidRPr="005A0032">
              <w:t xml:space="preserve">, </w:t>
            </w:r>
            <w:r w:rsidRPr="005A0032">
              <w:t xml:space="preserve">it can increase </w:t>
            </w:r>
            <w:r w:rsidR="00C76375" w:rsidRPr="005A0032">
              <w:t>public awareness on the species</w:t>
            </w:r>
            <w:r w:rsidR="005E3AB5" w:rsidRPr="005A0032">
              <w:t xml:space="preserve"> and </w:t>
            </w:r>
            <w:r w:rsidR="00C2388D">
              <w:t>help detect other invasive aquatic species</w:t>
            </w:r>
            <w:r w:rsidR="00C76375" w:rsidRPr="005A0032">
              <w:t>.</w:t>
            </w:r>
          </w:p>
        </w:tc>
      </w:tr>
      <w:tr w:rsidR="00346840" w:rsidRPr="00C75EDD" w14:paraId="451045AF" w14:textId="77777777" w:rsidTr="00292074">
        <w:tc>
          <w:tcPr>
            <w:tcW w:w="3295" w:type="dxa"/>
            <w:shd w:val="clear" w:color="auto" w:fill="F2DBDB" w:themeFill="accent2" w:themeFillTint="33"/>
          </w:tcPr>
          <w:p w14:paraId="02B6C8E8" w14:textId="77777777" w:rsidR="00346840" w:rsidRPr="0039672E" w:rsidRDefault="00346840" w:rsidP="00A2483D">
            <w:pPr>
              <w:pStyle w:val="NoSpacing"/>
              <w:rPr>
                <w:b/>
              </w:rPr>
            </w:pPr>
            <w:r w:rsidRPr="0039672E">
              <w:rPr>
                <w:b/>
              </w:rPr>
              <w:t>Acceptability to stakeholders</w:t>
            </w:r>
          </w:p>
          <w:p w14:paraId="3946115F" w14:textId="77777777" w:rsidR="00346840" w:rsidRDefault="00346840" w:rsidP="00A2483D">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50153FFB" w14:textId="77777777" w:rsidR="00346840" w:rsidRDefault="00346840" w:rsidP="00A2483D">
            <w:pPr>
              <w:pStyle w:val="NoSpacing"/>
              <w:rPr>
                <w:sz w:val="20"/>
              </w:rPr>
            </w:pPr>
          </w:p>
          <w:p w14:paraId="5A446230" w14:textId="77777777" w:rsidR="00346840" w:rsidRPr="002B6463" w:rsidRDefault="00346840" w:rsidP="00A2483D">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346840" w14:paraId="32E6B434" w14:textId="77777777" w:rsidTr="00292074">
              <w:tc>
                <w:tcPr>
                  <w:tcW w:w="2116" w:type="dxa"/>
                </w:tcPr>
                <w:p w14:paraId="0C77BBC2" w14:textId="77777777" w:rsidR="00346840" w:rsidRPr="002E17F6" w:rsidRDefault="00346840" w:rsidP="00A2483D">
                  <w:pPr>
                    <w:pStyle w:val="NoSpacing"/>
                    <w:rPr>
                      <w:b/>
                      <w:i/>
                      <w:sz w:val="20"/>
                    </w:rPr>
                  </w:pPr>
                  <w:r w:rsidRPr="002E17F6">
                    <w:rPr>
                      <w:b/>
                      <w:i/>
                      <w:sz w:val="20"/>
                    </w:rPr>
                    <w:t>Acceptability to stakeholders</w:t>
                  </w:r>
                </w:p>
              </w:tc>
              <w:tc>
                <w:tcPr>
                  <w:tcW w:w="1701" w:type="dxa"/>
                </w:tcPr>
                <w:p w14:paraId="686ABFAA" w14:textId="77777777" w:rsidR="00346840" w:rsidRDefault="00346840" w:rsidP="00A2483D">
                  <w:pPr>
                    <w:pStyle w:val="NoSpacing"/>
                    <w:jc w:val="right"/>
                    <w:rPr>
                      <w:i/>
                      <w:sz w:val="20"/>
                    </w:rPr>
                  </w:pPr>
                  <w:r>
                    <w:rPr>
                      <w:i/>
                      <w:sz w:val="20"/>
                    </w:rPr>
                    <w:t>Acceptable</w:t>
                  </w:r>
                </w:p>
              </w:tc>
              <w:tc>
                <w:tcPr>
                  <w:tcW w:w="425" w:type="dxa"/>
                  <w:shd w:val="clear" w:color="auto" w:fill="F2DBDB" w:themeFill="accent2" w:themeFillTint="33"/>
                </w:tcPr>
                <w:p w14:paraId="6247D3D1" w14:textId="68FFAB4E" w:rsidR="00346840" w:rsidRDefault="003541D2" w:rsidP="00A2483D">
                  <w:pPr>
                    <w:pStyle w:val="NoSpacing"/>
                    <w:jc w:val="right"/>
                    <w:rPr>
                      <w:i/>
                      <w:sz w:val="20"/>
                    </w:rPr>
                  </w:pPr>
                  <w:r>
                    <w:rPr>
                      <w:i/>
                      <w:sz w:val="20"/>
                    </w:rPr>
                    <w:t>X</w:t>
                  </w:r>
                </w:p>
              </w:tc>
              <w:tc>
                <w:tcPr>
                  <w:tcW w:w="2268" w:type="dxa"/>
                </w:tcPr>
                <w:p w14:paraId="7895EAD0" w14:textId="77777777" w:rsidR="00346840" w:rsidRDefault="00346840" w:rsidP="00A2483D">
                  <w:pPr>
                    <w:pStyle w:val="NoSpacing"/>
                    <w:jc w:val="right"/>
                    <w:rPr>
                      <w:i/>
                      <w:sz w:val="20"/>
                    </w:rPr>
                  </w:pPr>
                  <w:r>
                    <w:rPr>
                      <w:i/>
                      <w:sz w:val="20"/>
                    </w:rPr>
                    <w:t>Neutral or mixed</w:t>
                  </w:r>
                </w:p>
              </w:tc>
              <w:tc>
                <w:tcPr>
                  <w:tcW w:w="425" w:type="dxa"/>
                  <w:shd w:val="clear" w:color="auto" w:fill="F2DBDB" w:themeFill="accent2" w:themeFillTint="33"/>
                </w:tcPr>
                <w:p w14:paraId="2A5E315D" w14:textId="77777777" w:rsidR="00346840" w:rsidRDefault="00346840" w:rsidP="00A2483D">
                  <w:pPr>
                    <w:pStyle w:val="NoSpacing"/>
                    <w:jc w:val="right"/>
                    <w:rPr>
                      <w:i/>
                      <w:sz w:val="20"/>
                    </w:rPr>
                  </w:pPr>
                </w:p>
              </w:tc>
              <w:tc>
                <w:tcPr>
                  <w:tcW w:w="2002" w:type="dxa"/>
                </w:tcPr>
                <w:p w14:paraId="7A9883BD" w14:textId="77777777" w:rsidR="00346840" w:rsidRDefault="00346840" w:rsidP="00A2483D">
                  <w:pPr>
                    <w:pStyle w:val="NoSpacing"/>
                    <w:jc w:val="right"/>
                    <w:rPr>
                      <w:i/>
                      <w:sz w:val="20"/>
                    </w:rPr>
                  </w:pPr>
                  <w:r>
                    <w:rPr>
                      <w:i/>
                      <w:sz w:val="20"/>
                    </w:rPr>
                    <w:t>Unacceptable</w:t>
                  </w:r>
                </w:p>
              </w:tc>
              <w:tc>
                <w:tcPr>
                  <w:tcW w:w="408" w:type="dxa"/>
                  <w:shd w:val="clear" w:color="auto" w:fill="F2DBDB" w:themeFill="accent2" w:themeFillTint="33"/>
                </w:tcPr>
                <w:p w14:paraId="4802EA63" w14:textId="77777777" w:rsidR="00346840" w:rsidRDefault="00346840" w:rsidP="00A2483D">
                  <w:pPr>
                    <w:pStyle w:val="NoSpacing"/>
                    <w:rPr>
                      <w:i/>
                      <w:sz w:val="20"/>
                    </w:rPr>
                  </w:pPr>
                </w:p>
              </w:tc>
            </w:tr>
          </w:tbl>
          <w:p w14:paraId="579BF95E" w14:textId="77777777" w:rsidR="00346840" w:rsidRDefault="00346840" w:rsidP="00A2483D">
            <w:pPr>
              <w:pStyle w:val="NoSpacing"/>
              <w:rPr>
                <w:i/>
                <w:sz w:val="20"/>
              </w:rPr>
            </w:pPr>
          </w:p>
          <w:p w14:paraId="55B2CC53" w14:textId="77777777" w:rsidR="00346840" w:rsidRDefault="00346840" w:rsidP="00A2483D">
            <w:pPr>
              <w:pStyle w:val="NoSpacing"/>
              <w:rPr>
                <w:sz w:val="20"/>
              </w:rPr>
            </w:pPr>
            <w:r w:rsidRPr="00C856F5">
              <w:rPr>
                <w:i/>
                <w:sz w:val="20"/>
              </w:rPr>
              <w:t>Rationale</w:t>
            </w:r>
            <w:r>
              <w:rPr>
                <w:sz w:val="20"/>
              </w:rPr>
              <w:t>:</w:t>
            </w:r>
          </w:p>
          <w:p w14:paraId="2DEBAB1D" w14:textId="02946B3A" w:rsidR="00CE1812" w:rsidRPr="00C75EDD" w:rsidRDefault="005E3AB5" w:rsidP="00A2483D">
            <w:pPr>
              <w:pStyle w:val="NoSpacing"/>
              <w:rPr>
                <w:sz w:val="20"/>
              </w:rPr>
            </w:pPr>
            <w:r w:rsidRPr="005A0032">
              <w:t>The measure</w:t>
            </w:r>
            <w:r w:rsidR="00042409" w:rsidRPr="005A0032">
              <w:t xml:space="preserve"> should not encounter any resistance.</w:t>
            </w:r>
            <w:r w:rsidRPr="005A0032">
              <w:t xml:space="preserve"> </w:t>
            </w:r>
            <w:r w:rsidR="003864BC" w:rsidRPr="005A0032">
              <w:t xml:space="preserve"> </w:t>
            </w:r>
          </w:p>
        </w:tc>
      </w:tr>
      <w:tr w:rsidR="00346840" w14:paraId="3707399E" w14:textId="77777777" w:rsidTr="00292074">
        <w:tc>
          <w:tcPr>
            <w:tcW w:w="3295" w:type="dxa"/>
            <w:shd w:val="clear" w:color="auto" w:fill="F2DBDB" w:themeFill="accent2" w:themeFillTint="33"/>
          </w:tcPr>
          <w:p w14:paraId="1C4E35B9" w14:textId="77777777" w:rsidR="00346840" w:rsidRPr="0039672E" w:rsidRDefault="00346840" w:rsidP="00A2483D">
            <w:pPr>
              <w:pStyle w:val="NoSpacing"/>
              <w:rPr>
                <w:b/>
              </w:rPr>
            </w:pPr>
            <w:r w:rsidRPr="0039672E">
              <w:rPr>
                <w:b/>
              </w:rPr>
              <w:t>Additional cost information</w:t>
            </w:r>
            <w:r>
              <w:rPr>
                <w:b/>
              </w:rPr>
              <w:t xml:space="preserve"> </w:t>
            </w:r>
            <w:r>
              <w:rPr>
                <w:b/>
                <w:vertAlign w:val="superscript"/>
              </w:rPr>
              <w:t>1</w:t>
            </w:r>
          </w:p>
          <w:p w14:paraId="7F6FCA4D" w14:textId="77777777" w:rsidR="00346840" w:rsidRDefault="00346840" w:rsidP="00A2483D">
            <w:pPr>
              <w:rPr>
                <w:sz w:val="20"/>
              </w:rPr>
            </w:pPr>
            <w:r>
              <w:rPr>
                <w:sz w:val="20"/>
              </w:rPr>
              <w:t xml:space="preserve">When not already included above, or in the species Risk Assessment. </w:t>
            </w:r>
          </w:p>
          <w:p w14:paraId="7EB0F2D7" w14:textId="77777777" w:rsidR="00346840" w:rsidRPr="00E662A4" w:rsidRDefault="00346840" w:rsidP="00A2483D">
            <w:pPr>
              <w:rPr>
                <w:sz w:val="20"/>
              </w:rPr>
            </w:pPr>
            <w:r>
              <w:rPr>
                <w:sz w:val="20"/>
              </w:rPr>
              <w:t xml:space="preserve">- </w:t>
            </w:r>
            <w:r w:rsidRPr="00E662A4">
              <w:rPr>
                <w:sz w:val="20"/>
              </w:rPr>
              <w:t>implementation cost for Member States</w:t>
            </w:r>
          </w:p>
          <w:p w14:paraId="65612082" w14:textId="77777777" w:rsidR="00346840" w:rsidRPr="00E662A4" w:rsidRDefault="00346840" w:rsidP="00A2483D">
            <w:pPr>
              <w:rPr>
                <w:sz w:val="20"/>
              </w:rPr>
            </w:pPr>
            <w:r>
              <w:rPr>
                <w:sz w:val="20"/>
              </w:rPr>
              <w:t xml:space="preserve">- </w:t>
            </w:r>
            <w:r w:rsidRPr="00E662A4">
              <w:rPr>
                <w:sz w:val="20"/>
              </w:rPr>
              <w:t>the cost of inaction</w:t>
            </w:r>
          </w:p>
          <w:p w14:paraId="5A29058C" w14:textId="77777777" w:rsidR="00346840" w:rsidRPr="00E662A4" w:rsidRDefault="00346840" w:rsidP="00A2483D">
            <w:pPr>
              <w:rPr>
                <w:sz w:val="20"/>
              </w:rPr>
            </w:pPr>
            <w:r>
              <w:rPr>
                <w:sz w:val="20"/>
              </w:rPr>
              <w:t xml:space="preserve">- </w:t>
            </w:r>
            <w:r w:rsidRPr="00E662A4">
              <w:rPr>
                <w:sz w:val="20"/>
              </w:rPr>
              <w:t>the cost-effectiveness</w:t>
            </w:r>
          </w:p>
          <w:p w14:paraId="5EC14971" w14:textId="77777777" w:rsidR="00346840" w:rsidRDefault="00346840" w:rsidP="00A2483D">
            <w:pPr>
              <w:pStyle w:val="NoSpacing"/>
              <w:rPr>
                <w:sz w:val="20"/>
              </w:rPr>
            </w:pPr>
            <w:r>
              <w:rPr>
                <w:sz w:val="20"/>
              </w:rPr>
              <w:t xml:space="preserve">- </w:t>
            </w:r>
            <w:r w:rsidRPr="00E662A4">
              <w:rPr>
                <w:sz w:val="20"/>
              </w:rPr>
              <w:t>the socio-economic aspects</w:t>
            </w:r>
          </w:p>
          <w:p w14:paraId="382B5A2E" w14:textId="77777777" w:rsidR="00FD0D4D" w:rsidRDefault="00FD0D4D" w:rsidP="00A2483D">
            <w:pPr>
              <w:pStyle w:val="NoSpacing"/>
              <w:rPr>
                <w:sz w:val="20"/>
              </w:rPr>
            </w:pPr>
          </w:p>
          <w:p w14:paraId="72C6C265" w14:textId="722F604A" w:rsidR="00FD0D4D" w:rsidRPr="002B6463" w:rsidRDefault="00FD0D4D" w:rsidP="00A2483D">
            <w:pPr>
              <w:pStyle w:val="NoSpacing"/>
              <w:rPr>
                <w:sz w:val="20"/>
              </w:rPr>
            </w:pPr>
            <w:r>
              <w:rPr>
                <w:sz w:val="20"/>
              </w:rPr>
              <w:t>Include quantitative &amp;/or qualitative data, and case studies (incl. from countries outside the EU).</w:t>
            </w:r>
          </w:p>
        </w:tc>
        <w:tc>
          <w:tcPr>
            <w:tcW w:w="10653" w:type="dxa"/>
          </w:tcPr>
          <w:p w14:paraId="4E1C842B" w14:textId="198F5560" w:rsidR="00B67C11" w:rsidRDefault="00164012" w:rsidP="002A7257">
            <w:pPr>
              <w:pStyle w:val="NoSpacing"/>
              <w:rPr>
                <w:sz w:val="20"/>
              </w:rPr>
            </w:pPr>
            <w:r w:rsidRPr="005A0032">
              <w:t>Costs of implementation for Member States vary according to the</w:t>
            </w:r>
            <w:r w:rsidR="00B67C11" w:rsidRPr="005A0032">
              <w:t xml:space="preserve"> composition and number of people involved in the network.</w:t>
            </w:r>
            <w:r w:rsidR="002A7257">
              <w:t xml:space="preserve"> </w:t>
            </w:r>
            <w:r w:rsidR="00742341" w:rsidRPr="005A0032">
              <w:t>This measure is extremely helpful</w:t>
            </w:r>
            <w:r w:rsidR="002A7257">
              <w:t>,</w:t>
            </w:r>
            <w:r w:rsidR="00742341" w:rsidRPr="005A0032">
              <w:t xml:space="preserve"> as the extent </w:t>
            </w:r>
            <w:r w:rsidR="001E0C1E" w:rsidRPr="005A0032">
              <w:t xml:space="preserve">of </w:t>
            </w:r>
            <w:r w:rsidR="00742341" w:rsidRPr="005A0032">
              <w:t xml:space="preserve">EU water bodies is vast, </w:t>
            </w:r>
            <w:r w:rsidR="001E0C1E" w:rsidRPr="005A0032">
              <w:t xml:space="preserve">thus it is </w:t>
            </w:r>
            <w:r w:rsidR="004D561B" w:rsidRPr="005A0032">
              <w:t>crucial</w:t>
            </w:r>
            <w:r w:rsidR="001E0C1E" w:rsidRPr="005A0032">
              <w:t xml:space="preserve"> to involve local people </w:t>
            </w:r>
            <w:r w:rsidR="002A7257">
              <w:t>on</w:t>
            </w:r>
            <w:r w:rsidR="002A7257" w:rsidRPr="005A0032">
              <w:t xml:space="preserve"> </w:t>
            </w:r>
            <w:r w:rsidR="004D561B" w:rsidRPr="005A0032">
              <w:t xml:space="preserve">their </w:t>
            </w:r>
            <w:r w:rsidR="001E0C1E" w:rsidRPr="005A0032">
              <w:t>surveillance</w:t>
            </w:r>
            <w:r w:rsidR="00A8745A" w:rsidRPr="005A0032">
              <w:t xml:space="preserve">. </w:t>
            </w:r>
            <w:r w:rsidR="00031F93" w:rsidRPr="005A0032">
              <w:t>Early detection is extremely important in eradication and management actions</w:t>
            </w:r>
            <w:r w:rsidR="002A7257">
              <w:t>,</w:t>
            </w:r>
            <w:r w:rsidR="000A540D" w:rsidRPr="005A0032">
              <w:t xml:space="preserve"> </w:t>
            </w:r>
            <w:r w:rsidR="002A7257">
              <w:t>t</w:t>
            </w:r>
            <w:r w:rsidR="000A540D" w:rsidRPr="005A0032">
              <w:t>hus the cost of inaction would be high.</w:t>
            </w:r>
          </w:p>
        </w:tc>
      </w:tr>
      <w:tr w:rsidR="00346840" w14:paraId="4BA06281" w14:textId="77777777" w:rsidTr="00292074">
        <w:tc>
          <w:tcPr>
            <w:tcW w:w="3295" w:type="dxa"/>
            <w:tcBorders>
              <w:bottom w:val="single" w:sz="4" w:space="0" w:color="auto"/>
            </w:tcBorders>
            <w:shd w:val="clear" w:color="auto" w:fill="F2DBDB" w:themeFill="accent2" w:themeFillTint="33"/>
          </w:tcPr>
          <w:p w14:paraId="5E06753A" w14:textId="77777777" w:rsidR="00C81F1E" w:rsidRDefault="00C81F1E" w:rsidP="00C81F1E">
            <w:pPr>
              <w:pStyle w:val="NoSpacing"/>
              <w:rPr>
                <w:b/>
              </w:rPr>
            </w:pPr>
            <w:r w:rsidRPr="002B6463">
              <w:rPr>
                <w:b/>
              </w:rPr>
              <w:lastRenderedPageBreak/>
              <w:t>Level of confidence</w:t>
            </w:r>
            <w:r>
              <w:rPr>
                <w:b/>
              </w:rPr>
              <w:t xml:space="preserve"> on the information provided </w:t>
            </w:r>
            <w:r>
              <w:rPr>
                <w:b/>
                <w:vertAlign w:val="superscript"/>
              </w:rPr>
              <w:t>2</w:t>
            </w:r>
          </w:p>
          <w:p w14:paraId="38CC277C" w14:textId="77777777" w:rsidR="00C81F1E" w:rsidRDefault="00C81F1E" w:rsidP="00C81F1E">
            <w:pPr>
              <w:pStyle w:val="NoSpacing"/>
              <w:rPr>
                <w:rFonts w:eastAsia="Times New Roman" w:cstheme="minorHAnsi"/>
                <w:b/>
                <w:sz w:val="20"/>
                <w:szCs w:val="20"/>
              </w:rPr>
            </w:pPr>
          </w:p>
          <w:p w14:paraId="0B138BBA" w14:textId="77777777" w:rsidR="00C81F1E" w:rsidRPr="00DE32F5" w:rsidRDefault="00C81F1E" w:rsidP="00C81F1E">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2C85F967" w14:textId="07E42395" w:rsidR="00346840" w:rsidRDefault="00C81F1E" w:rsidP="00C81F1E">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C81F1E" w14:paraId="742DCDFC" w14:textId="77777777" w:rsidTr="00C81F1E">
              <w:tc>
                <w:tcPr>
                  <w:tcW w:w="2024" w:type="dxa"/>
                </w:tcPr>
                <w:p w14:paraId="3F94B45E" w14:textId="77777777" w:rsidR="00C81F1E" w:rsidRPr="007C64EE" w:rsidRDefault="00C81F1E" w:rsidP="00C81F1E">
                  <w:pPr>
                    <w:pStyle w:val="NoSpacing"/>
                    <w:rPr>
                      <w:i/>
                      <w:sz w:val="20"/>
                    </w:rPr>
                  </w:pPr>
                  <w:r>
                    <w:rPr>
                      <w:i/>
                      <w:sz w:val="20"/>
                    </w:rPr>
                    <w:t>Inconclusive</w:t>
                  </w:r>
                </w:p>
              </w:tc>
              <w:tc>
                <w:tcPr>
                  <w:tcW w:w="375" w:type="dxa"/>
                  <w:shd w:val="clear" w:color="auto" w:fill="F2DBDB" w:themeFill="accent2" w:themeFillTint="33"/>
                </w:tcPr>
                <w:p w14:paraId="46D84FA4" w14:textId="77777777" w:rsidR="00C81F1E" w:rsidRDefault="00C81F1E" w:rsidP="00C81F1E">
                  <w:pPr>
                    <w:pStyle w:val="NoSpacing"/>
                    <w:jc w:val="right"/>
                    <w:rPr>
                      <w:i/>
                      <w:sz w:val="20"/>
                    </w:rPr>
                  </w:pPr>
                </w:p>
              </w:tc>
              <w:tc>
                <w:tcPr>
                  <w:tcW w:w="1559" w:type="dxa"/>
                </w:tcPr>
                <w:p w14:paraId="73742A15" w14:textId="77777777" w:rsidR="00C81F1E" w:rsidRDefault="00C81F1E" w:rsidP="00C81F1E">
                  <w:pPr>
                    <w:pStyle w:val="NoSpacing"/>
                    <w:jc w:val="right"/>
                    <w:rPr>
                      <w:i/>
                      <w:sz w:val="20"/>
                    </w:rPr>
                  </w:pPr>
                  <w:r>
                    <w:rPr>
                      <w:i/>
                      <w:sz w:val="20"/>
                    </w:rPr>
                    <w:t>Unresolved</w:t>
                  </w:r>
                </w:p>
              </w:tc>
              <w:tc>
                <w:tcPr>
                  <w:tcW w:w="426" w:type="dxa"/>
                  <w:shd w:val="clear" w:color="auto" w:fill="F2DBDB" w:themeFill="accent2" w:themeFillTint="33"/>
                </w:tcPr>
                <w:p w14:paraId="4A7F49DC" w14:textId="77777777" w:rsidR="00C81F1E" w:rsidRDefault="00C81F1E" w:rsidP="00C81F1E">
                  <w:pPr>
                    <w:pStyle w:val="NoSpacing"/>
                    <w:jc w:val="right"/>
                    <w:rPr>
                      <w:i/>
                      <w:sz w:val="20"/>
                    </w:rPr>
                  </w:pPr>
                </w:p>
              </w:tc>
              <w:tc>
                <w:tcPr>
                  <w:tcW w:w="2126" w:type="dxa"/>
                </w:tcPr>
                <w:p w14:paraId="10415BDC" w14:textId="77777777" w:rsidR="00C81F1E" w:rsidRDefault="00C81F1E" w:rsidP="00C81F1E">
                  <w:pPr>
                    <w:pStyle w:val="NoSpacing"/>
                    <w:jc w:val="right"/>
                    <w:rPr>
                      <w:i/>
                      <w:sz w:val="20"/>
                    </w:rPr>
                  </w:pPr>
                  <w:r>
                    <w:rPr>
                      <w:i/>
                      <w:sz w:val="20"/>
                    </w:rPr>
                    <w:t>Established but incomplete</w:t>
                  </w:r>
                </w:p>
              </w:tc>
              <w:tc>
                <w:tcPr>
                  <w:tcW w:w="425" w:type="dxa"/>
                  <w:shd w:val="clear" w:color="auto" w:fill="F2DBDB" w:themeFill="accent2" w:themeFillTint="33"/>
                </w:tcPr>
                <w:p w14:paraId="366DBFB8" w14:textId="1886F64F" w:rsidR="00C81F1E" w:rsidRDefault="004C6597" w:rsidP="00C81F1E">
                  <w:pPr>
                    <w:pStyle w:val="NoSpacing"/>
                    <w:jc w:val="right"/>
                    <w:rPr>
                      <w:i/>
                      <w:sz w:val="20"/>
                    </w:rPr>
                  </w:pPr>
                  <w:r>
                    <w:rPr>
                      <w:i/>
                      <w:sz w:val="20"/>
                    </w:rPr>
                    <w:t>X</w:t>
                  </w:r>
                </w:p>
              </w:tc>
              <w:tc>
                <w:tcPr>
                  <w:tcW w:w="2268" w:type="dxa"/>
                </w:tcPr>
                <w:p w14:paraId="2B60C38C" w14:textId="77777777" w:rsidR="00C81F1E" w:rsidRDefault="00C81F1E" w:rsidP="00C81F1E">
                  <w:pPr>
                    <w:pStyle w:val="NoSpacing"/>
                    <w:jc w:val="right"/>
                    <w:rPr>
                      <w:i/>
                      <w:sz w:val="20"/>
                    </w:rPr>
                  </w:pPr>
                  <w:r>
                    <w:rPr>
                      <w:i/>
                      <w:sz w:val="20"/>
                    </w:rPr>
                    <w:t>Well established</w:t>
                  </w:r>
                </w:p>
              </w:tc>
              <w:tc>
                <w:tcPr>
                  <w:tcW w:w="425" w:type="dxa"/>
                  <w:shd w:val="clear" w:color="auto" w:fill="F2DBDB" w:themeFill="accent2" w:themeFillTint="33"/>
                </w:tcPr>
                <w:p w14:paraId="3A3A9333" w14:textId="77777777" w:rsidR="00C81F1E" w:rsidRDefault="00C81F1E" w:rsidP="00C81F1E">
                  <w:pPr>
                    <w:pStyle w:val="NoSpacing"/>
                    <w:rPr>
                      <w:i/>
                      <w:sz w:val="20"/>
                    </w:rPr>
                  </w:pPr>
                </w:p>
              </w:tc>
            </w:tr>
          </w:tbl>
          <w:p w14:paraId="1C44412C" w14:textId="77777777" w:rsidR="00C81F1E" w:rsidRDefault="00C81F1E" w:rsidP="00C81F1E">
            <w:pPr>
              <w:pStyle w:val="NoSpacing"/>
              <w:rPr>
                <w:i/>
                <w:sz w:val="20"/>
              </w:rPr>
            </w:pPr>
          </w:p>
          <w:p w14:paraId="0184FBF2" w14:textId="77777777" w:rsidR="00C81F1E" w:rsidRDefault="00C81F1E" w:rsidP="00C81F1E">
            <w:pPr>
              <w:pStyle w:val="NoSpacing"/>
              <w:rPr>
                <w:sz w:val="20"/>
              </w:rPr>
            </w:pPr>
            <w:r w:rsidRPr="00C856F5">
              <w:rPr>
                <w:i/>
                <w:sz w:val="20"/>
              </w:rPr>
              <w:t>Rationale</w:t>
            </w:r>
            <w:r>
              <w:rPr>
                <w:sz w:val="20"/>
              </w:rPr>
              <w:t>:</w:t>
            </w:r>
          </w:p>
          <w:p w14:paraId="2ABDBA4A" w14:textId="2ACAFF12" w:rsidR="00346840" w:rsidRPr="004C6597" w:rsidRDefault="004C6597" w:rsidP="002A7257">
            <w:pPr>
              <w:pStyle w:val="NoSpacing"/>
              <w:rPr>
                <w:sz w:val="20"/>
                <w:szCs w:val="20"/>
              </w:rPr>
            </w:pPr>
            <w:r w:rsidRPr="005A0032">
              <w:rPr>
                <w:szCs w:val="20"/>
              </w:rPr>
              <w:t>This measure is recogni</w:t>
            </w:r>
            <w:r w:rsidR="002A7257">
              <w:rPr>
                <w:szCs w:val="20"/>
              </w:rPr>
              <w:t>s</w:t>
            </w:r>
            <w:r w:rsidRPr="005A0032">
              <w:rPr>
                <w:szCs w:val="20"/>
              </w:rPr>
              <w:t xml:space="preserve">ed to be helpful for detecting new </w:t>
            </w:r>
            <w:r w:rsidR="00745A83">
              <w:rPr>
                <w:szCs w:val="20"/>
              </w:rPr>
              <w:t xml:space="preserve">occurrences of </w:t>
            </w:r>
            <w:r w:rsidRPr="005A0032">
              <w:rPr>
                <w:szCs w:val="20"/>
              </w:rPr>
              <w:t>species; published data are</w:t>
            </w:r>
            <w:r w:rsidR="00745A83">
              <w:rPr>
                <w:szCs w:val="20"/>
              </w:rPr>
              <w:t>,</w:t>
            </w:r>
            <w:r w:rsidRPr="005A0032">
              <w:rPr>
                <w:szCs w:val="20"/>
              </w:rPr>
              <w:t xml:space="preserve"> however</w:t>
            </w:r>
            <w:r w:rsidR="00745A83">
              <w:rPr>
                <w:szCs w:val="20"/>
              </w:rPr>
              <w:t>,</w:t>
            </w:r>
            <w:r w:rsidRPr="005A0032">
              <w:rPr>
                <w:szCs w:val="20"/>
              </w:rPr>
              <w:t xml:space="preserve"> scanty.</w:t>
            </w:r>
          </w:p>
        </w:tc>
      </w:tr>
    </w:tbl>
    <w:p w14:paraId="29BAAFC2" w14:textId="4B5E8365" w:rsidR="00D22E0C" w:rsidRDefault="00D22E0C"/>
    <w:p w14:paraId="593C2271" w14:textId="77777777" w:rsidR="00D22E0C" w:rsidRDefault="00D22E0C"/>
    <w:tbl>
      <w:tblPr>
        <w:tblStyle w:val="TableGrid"/>
        <w:tblW w:w="0" w:type="auto"/>
        <w:tblLook w:val="04A0" w:firstRow="1" w:lastRow="0" w:firstColumn="1" w:lastColumn="0" w:noHBand="0" w:noVBand="1"/>
      </w:tblPr>
      <w:tblGrid>
        <w:gridCol w:w="3295"/>
        <w:gridCol w:w="10653"/>
      </w:tblGrid>
      <w:tr w:rsidR="00E65D9C" w:rsidRPr="00EA4F7D" w14:paraId="337FD078" w14:textId="77777777" w:rsidTr="00417F5A">
        <w:tc>
          <w:tcPr>
            <w:tcW w:w="13948" w:type="dxa"/>
            <w:gridSpan w:val="2"/>
            <w:shd w:val="clear" w:color="auto" w:fill="E5B8B7" w:themeFill="accent2" w:themeFillTint="66"/>
          </w:tcPr>
          <w:p w14:paraId="38D08B61" w14:textId="77777777" w:rsidR="00E65D9C" w:rsidRPr="00EA4F7D" w:rsidRDefault="00E65D9C" w:rsidP="00417F5A">
            <w:pPr>
              <w:pStyle w:val="NoSpacing"/>
              <w:rPr>
                <w:sz w:val="24"/>
                <w:szCs w:val="24"/>
              </w:rPr>
            </w:pPr>
            <w:r>
              <w:rPr>
                <w:rFonts w:eastAsia="Times New Roman"/>
                <w:b/>
                <w:sz w:val="28"/>
              </w:rPr>
              <w:t>Surveillance measures to support e</w:t>
            </w:r>
            <w:r w:rsidRPr="000D1AA8">
              <w:rPr>
                <w:rFonts w:eastAsia="Times New Roman"/>
                <w:b/>
                <w:sz w:val="28"/>
              </w:rPr>
              <w:t>arly detection</w:t>
            </w:r>
            <w:r w:rsidRPr="002B6463">
              <w:rPr>
                <w:b/>
                <w:sz w:val="28"/>
              </w:rPr>
              <w:t xml:space="preserve"> </w:t>
            </w:r>
            <w:r>
              <w:rPr>
                <w:b/>
                <w:sz w:val="28"/>
              </w:rPr>
              <w:t xml:space="preserve">- </w:t>
            </w:r>
            <w:r w:rsidRPr="00280410">
              <w:rPr>
                <w:rFonts w:cstheme="minorHAnsi"/>
                <w:sz w:val="20"/>
                <w:szCs w:val="20"/>
              </w:rPr>
              <w:t xml:space="preserve">Measures to run an effective surveillance system </w:t>
            </w:r>
            <w:r>
              <w:rPr>
                <w:rFonts w:cstheme="minorHAnsi"/>
                <w:sz w:val="20"/>
                <w:szCs w:val="20"/>
              </w:rPr>
              <w:t>for achieving</w:t>
            </w:r>
            <w:r w:rsidRPr="00280410">
              <w:rPr>
                <w:rFonts w:cstheme="minorHAnsi"/>
                <w:sz w:val="20"/>
                <w:szCs w:val="20"/>
              </w:rPr>
              <w:t xml:space="preserve"> an early detection of a new occurrence (cf. Article 16</w:t>
            </w:r>
            <w:r>
              <w:rPr>
                <w:rFonts w:cstheme="minorHAnsi"/>
                <w:sz w:val="20"/>
                <w:szCs w:val="20"/>
              </w:rPr>
              <w:t>).</w:t>
            </w:r>
            <w:r w:rsidRPr="00280410">
              <w:rPr>
                <w:rFonts w:cstheme="minorHAnsi"/>
                <w:sz w:val="20"/>
                <w:szCs w:val="20"/>
              </w:rPr>
              <w:t xml:space="preserve"> This section assume</w:t>
            </w:r>
            <w:r>
              <w:rPr>
                <w:rFonts w:cstheme="minorHAnsi"/>
                <w:sz w:val="20"/>
                <w:szCs w:val="20"/>
              </w:rPr>
              <w:t>s</w:t>
            </w:r>
            <w:r w:rsidRPr="00280410">
              <w:rPr>
                <w:rFonts w:cstheme="minorHAnsi"/>
                <w:sz w:val="20"/>
                <w:szCs w:val="20"/>
              </w:rPr>
              <w:t xml:space="preserve"> that the species is not currently present in a Member State, or part of a Member State’s territory. </w:t>
            </w:r>
            <w:r>
              <w:rPr>
                <w:rFonts w:cstheme="minorHAnsi"/>
                <w:b/>
                <w:sz w:val="20"/>
                <w:szCs w:val="24"/>
              </w:rPr>
              <w:t>T</w:t>
            </w:r>
            <w:r w:rsidRPr="00280410">
              <w:rPr>
                <w:rFonts w:cstheme="minorHAnsi"/>
                <w:b/>
                <w:sz w:val="20"/>
                <w:szCs w:val="24"/>
              </w:rPr>
              <w:t xml:space="preserve">his table </w:t>
            </w:r>
            <w:r>
              <w:rPr>
                <w:rFonts w:cstheme="minorHAnsi"/>
                <w:b/>
                <w:sz w:val="20"/>
                <w:szCs w:val="24"/>
              </w:rPr>
              <w:t>is repeated for each of the</w:t>
            </w:r>
            <w:r w:rsidRPr="00280410">
              <w:rPr>
                <w:rFonts w:cstheme="minorHAnsi"/>
                <w:b/>
                <w:sz w:val="20"/>
                <w:szCs w:val="24"/>
              </w:rPr>
              <w:t xml:space="preserve"> early detection measures</w:t>
            </w:r>
            <w:r>
              <w:rPr>
                <w:rFonts w:cstheme="minorHAnsi"/>
                <w:b/>
                <w:sz w:val="20"/>
                <w:szCs w:val="24"/>
              </w:rPr>
              <w:t xml:space="preserve"> identified.</w:t>
            </w:r>
          </w:p>
        </w:tc>
      </w:tr>
      <w:tr w:rsidR="00E65D9C" w:rsidRPr="007C654A" w14:paraId="60CE281E" w14:textId="77777777" w:rsidTr="00417F5A">
        <w:trPr>
          <w:trHeight w:val="517"/>
        </w:trPr>
        <w:tc>
          <w:tcPr>
            <w:tcW w:w="3295" w:type="dxa"/>
            <w:tcBorders>
              <w:bottom w:val="single" w:sz="4" w:space="0" w:color="auto"/>
            </w:tcBorders>
            <w:shd w:val="clear" w:color="auto" w:fill="F2DBDB" w:themeFill="accent2" w:themeFillTint="33"/>
          </w:tcPr>
          <w:p w14:paraId="496D6954" w14:textId="77777777" w:rsidR="00E65D9C" w:rsidRDefault="00E65D9C" w:rsidP="00417F5A">
            <w:pPr>
              <w:pStyle w:val="NoSpacing"/>
              <w:rPr>
                <w:b/>
              </w:rPr>
            </w:pPr>
            <w:r>
              <w:rPr>
                <w:b/>
              </w:rPr>
              <w:t>Measure description</w:t>
            </w:r>
          </w:p>
          <w:p w14:paraId="056E9E46" w14:textId="77777777" w:rsidR="00E65D9C" w:rsidRPr="00DE32F5" w:rsidRDefault="00E65D9C" w:rsidP="00417F5A">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tc>
        <w:tc>
          <w:tcPr>
            <w:tcW w:w="10653" w:type="dxa"/>
            <w:tcBorders>
              <w:bottom w:val="single" w:sz="4" w:space="0" w:color="auto"/>
            </w:tcBorders>
          </w:tcPr>
          <w:p w14:paraId="2BB42595" w14:textId="0F2BF504" w:rsidR="00E65D9C" w:rsidRPr="005A0032" w:rsidRDefault="00E82FA0" w:rsidP="00417F5A">
            <w:pPr>
              <w:pStyle w:val="NoSpacing"/>
              <w:rPr>
                <w:b/>
                <w:szCs w:val="20"/>
              </w:rPr>
            </w:pPr>
            <w:r w:rsidRPr="005A0032">
              <w:rPr>
                <w:b/>
                <w:szCs w:val="20"/>
              </w:rPr>
              <w:t>e</w:t>
            </w:r>
            <w:r w:rsidR="00E65D9C" w:rsidRPr="005A0032">
              <w:rPr>
                <w:b/>
                <w:szCs w:val="20"/>
              </w:rPr>
              <w:t>DNA</w:t>
            </w:r>
            <w:r w:rsidRPr="005A0032">
              <w:rPr>
                <w:b/>
                <w:szCs w:val="20"/>
              </w:rPr>
              <w:t xml:space="preserve"> monitoring</w:t>
            </w:r>
          </w:p>
          <w:p w14:paraId="2463458A" w14:textId="77777777" w:rsidR="004203E6" w:rsidRPr="005A0032" w:rsidRDefault="004203E6" w:rsidP="00417F5A">
            <w:pPr>
              <w:pStyle w:val="NoSpacing"/>
              <w:rPr>
                <w:b/>
                <w:szCs w:val="20"/>
              </w:rPr>
            </w:pPr>
          </w:p>
          <w:p w14:paraId="1BC7AAF6" w14:textId="4D17374A" w:rsidR="00441612" w:rsidRDefault="004203E6" w:rsidP="00BD77FB">
            <w:pPr>
              <w:pStyle w:val="NoSpacing"/>
              <w:rPr>
                <w:szCs w:val="20"/>
              </w:rPr>
            </w:pPr>
            <w:r w:rsidRPr="005A0032">
              <w:rPr>
                <w:szCs w:val="20"/>
              </w:rPr>
              <w:t xml:space="preserve">Traditional surveillance methods for aquatic taxa (e.g., traps, nets) </w:t>
            </w:r>
            <w:r w:rsidR="00105D17" w:rsidRPr="005A0032">
              <w:rPr>
                <w:szCs w:val="20"/>
              </w:rPr>
              <w:t>can</w:t>
            </w:r>
            <w:r w:rsidRPr="005A0032">
              <w:rPr>
                <w:szCs w:val="20"/>
              </w:rPr>
              <w:t xml:space="preserve"> have low capture probabilities, making them reliable only for species that are moderately to highly abundant</w:t>
            </w:r>
            <w:r w:rsidR="00A80D73">
              <w:rPr>
                <w:szCs w:val="20"/>
              </w:rPr>
              <w:t>,</w:t>
            </w:r>
            <w:r w:rsidRPr="005A0032">
              <w:rPr>
                <w:szCs w:val="20"/>
              </w:rPr>
              <w:t xml:space="preserve"> </w:t>
            </w:r>
            <w:r w:rsidR="008D0EA0">
              <w:rPr>
                <w:szCs w:val="20"/>
              </w:rPr>
              <w:t>or are</w:t>
            </w:r>
            <w:r w:rsidR="008E795F" w:rsidRPr="005A0032">
              <w:rPr>
                <w:szCs w:val="20"/>
              </w:rPr>
              <w:t xml:space="preserve"> </w:t>
            </w:r>
            <w:r w:rsidR="00161A38" w:rsidRPr="005A0032">
              <w:rPr>
                <w:szCs w:val="20"/>
              </w:rPr>
              <w:t xml:space="preserve">sex and </w:t>
            </w:r>
            <w:r w:rsidR="008E795F" w:rsidRPr="005A0032">
              <w:rPr>
                <w:szCs w:val="20"/>
              </w:rPr>
              <w:t xml:space="preserve">size-biased </w:t>
            </w:r>
            <w:r w:rsidRPr="005A0032">
              <w:rPr>
                <w:szCs w:val="20"/>
              </w:rPr>
              <w:t>(</w:t>
            </w:r>
            <w:proofErr w:type="spellStart"/>
            <w:r w:rsidRPr="005A0032">
              <w:rPr>
                <w:szCs w:val="20"/>
              </w:rPr>
              <w:t>Jerde</w:t>
            </w:r>
            <w:proofErr w:type="spellEnd"/>
            <w:r w:rsidRPr="005A0032">
              <w:rPr>
                <w:szCs w:val="20"/>
              </w:rPr>
              <w:t xml:space="preserve"> et al.</w:t>
            </w:r>
            <w:r w:rsidR="004D494B" w:rsidRPr="005A0032">
              <w:rPr>
                <w:szCs w:val="20"/>
              </w:rPr>
              <w:t>,</w:t>
            </w:r>
            <w:r w:rsidRPr="005A0032">
              <w:rPr>
                <w:szCs w:val="20"/>
              </w:rPr>
              <w:t xml:space="preserve"> 2011). Genetic monitoring continues to grow in importance for a variety of conservation and management applications (Schwartz et al.</w:t>
            </w:r>
            <w:r w:rsidR="00FD1FA7" w:rsidRPr="005A0032">
              <w:rPr>
                <w:szCs w:val="20"/>
              </w:rPr>
              <w:t>,</w:t>
            </w:r>
            <w:r w:rsidRPr="005A0032">
              <w:rPr>
                <w:szCs w:val="20"/>
              </w:rPr>
              <w:t xml:space="preserve"> </w:t>
            </w:r>
            <w:r w:rsidR="00817E5E" w:rsidRPr="005A0032">
              <w:rPr>
                <w:szCs w:val="20"/>
              </w:rPr>
              <w:t>200</w:t>
            </w:r>
            <w:r w:rsidR="00817E5E">
              <w:rPr>
                <w:szCs w:val="20"/>
              </w:rPr>
              <w:t>7</w:t>
            </w:r>
            <w:r w:rsidRPr="005A0032">
              <w:rPr>
                <w:szCs w:val="20"/>
              </w:rPr>
              <w:t>)</w:t>
            </w:r>
            <w:r w:rsidR="00BE77EC" w:rsidRPr="005A0032">
              <w:rPr>
                <w:szCs w:val="20"/>
              </w:rPr>
              <w:t xml:space="preserve">. </w:t>
            </w:r>
            <w:r w:rsidRPr="005A0032">
              <w:rPr>
                <w:szCs w:val="20"/>
              </w:rPr>
              <w:t xml:space="preserve">Species surveillance using eDNA exploits an advantage of aquatic sampling that can aid in detection: </w:t>
            </w:r>
            <w:r w:rsidR="00A80D73">
              <w:rPr>
                <w:szCs w:val="20"/>
              </w:rPr>
              <w:t xml:space="preserve">the fact that </w:t>
            </w:r>
            <w:r w:rsidRPr="005A0032">
              <w:rPr>
                <w:szCs w:val="20"/>
              </w:rPr>
              <w:t>the aqueous environment often contains microscopic bits of tissue in suspension (e.g., sloughed tissues or cells, larvae or adults that are microscopic, milt, eggs, extracellular DNA from degraded tissues, scales, and invertebrate exoskeletons). As a result, it is possible to sample DNA from even rare taxa that are present, but not detectable by traditional means</w:t>
            </w:r>
            <w:r w:rsidR="00275860" w:rsidRPr="005A0032">
              <w:rPr>
                <w:szCs w:val="20"/>
              </w:rPr>
              <w:t xml:space="preserve"> (Egan et al., 2013).</w:t>
            </w:r>
            <w:r w:rsidR="00CA43F7" w:rsidRPr="005A0032">
              <w:rPr>
                <w:szCs w:val="20"/>
              </w:rPr>
              <w:t xml:space="preserve"> The eDNA method has been successfully developed and applied to Asian carp invasions </w:t>
            </w:r>
            <w:r w:rsidR="003921C8" w:rsidRPr="005A0032">
              <w:rPr>
                <w:szCs w:val="20"/>
              </w:rPr>
              <w:t xml:space="preserve">in </w:t>
            </w:r>
            <w:r w:rsidR="00A80D73">
              <w:rPr>
                <w:szCs w:val="20"/>
              </w:rPr>
              <w:t xml:space="preserve">the </w:t>
            </w:r>
            <w:r w:rsidR="003921C8" w:rsidRPr="005A0032">
              <w:rPr>
                <w:szCs w:val="20"/>
              </w:rPr>
              <w:t>US</w:t>
            </w:r>
            <w:r w:rsidR="00A80D73">
              <w:rPr>
                <w:szCs w:val="20"/>
              </w:rPr>
              <w:t>A</w:t>
            </w:r>
            <w:r w:rsidR="003921C8" w:rsidRPr="005A0032">
              <w:rPr>
                <w:szCs w:val="20"/>
              </w:rPr>
              <w:t xml:space="preserve"> (</w:t>
            </w:r>
            <w:proofErr w:type="spellStart"/>
            <w:r w:rsidR="003921C8" w:rsidRPr="005A0032">
              <w:rPr>
                <w:szCs w:val="20"/>
              </w:rPr>
              <w:t>Jerde</w:t>
            </w:r>
            <w:proofErr w:type="spellEnd"/>
            <w:r w:rsidR="003921C8" w:rsidRPr="005A0032">
              <w:rPr>
                <w:szCs w:val="20"/>
              </w:rPr>
              <w:t xml:space="preserve"> et al., 2011), alien crustaceans </w:t>
            </w:r>
            <w:r w:rsidR="001F6E06" w:rsidRPr="005A0032">
              <w:rPr>
                <w:szCs w:val="20"/>
              </w:rPr>
              <w:t>and mollus</w:t>
            </w:r>
            <w:r w:rsidR="00A80D73">
              <w:rPr>
                <w:szCs w:val="20"/>
              </w:rPr>
              <w:t>c</w:t>
            </w:r>
            <w:r w:rsidR="001F6E06" w:rsidRPr="005A0032">
              <w:rPr>
                <w:szCs w:val="20"/>
              </w:rPr>
              <w:t xml:space="preserve">s </w:t>
            </w:r>
            <w:r w:rsidR="003921C8" w:rsidRPr="005A0032">
              <w:rPr>
                <w:szCs w:val="20"/>
              </w:rPr>
              <w:t>in Europe (</w:t>
            </w:r>
            <w:r w:rsidR="00441612" w:rsidRPr="005A0032">
              <w:rPr>
                <w:szCs w:val="20"/>
              </w:rPr>
              <w:t>Blackman et al., 2018)</w:t>
            </w:r>
            <w:r w:rsidR="007D0F4B" w:rsidRPr="005A0032">
              <w:rPr>
                <w:szCs w:val="20"/>
              </w:rPr>
              <w:t xml:space="preserve">, </w:t>
            </w:r>
            <w:r w:rsidR="00032D7B" w:rsidRPr="005A0032">
              <w:rPr>
                <w:szCs w:val="20"/>
              </w:rPr>
              <w:t xml:space="preserve">and </w:t>
            </w:r>
            <w:r w:rsidR="007D0F4B" w:rsidRPr="005A0032">
              <w:rPr>
                <w:szCs w:val="20"/>
              </w:rPr>
              <w:t xml:space="preserve">Chinese mitten crab in </w:t>
            </w:r>
            <w:r w:rsidR="00A80D73">
              <w:rPr>
                <w:szCs w:val="20"/>
              </w:rPr>
              <w:t xml:space="preserve">the </w:t>
            </w:r>
            <w:r w:rsidR="007D0F4B" w:rsidRPr="005A0032">
              <w:rPr>
                <w:szCs w:val="20"/>
              </w:rPr>
              <w:t>US</w:t>
            </w:r>
            <w:r w:rsidR="00A80D73">
              <w:rPr>
                <w:szCs w:val="20"/>
              </w:rPr>
              <w:t>A</w:t>
            </w:r>
            <w:r w:rsidR="007D0F4B" w:rsidRPr="005A0032">
              <w:rPr>
                <w:szCs w:val="20"/>
              </w:rPr>
              <w:t xml:space="preserve"> (Egan et al., 2013).</w:t>
            </w:r>
          </w:p>
          <w:p w14:paraId="3ADA3793" w14:textId="77777777" w:rsidR="00045B89" w:rsidRPr="005A0032" w:rsidRDefault="00045B89" w:rsidP="00BD77FB">
            <w:pPr>
              <w:pStyle w:val="NoSpacing"/>
              <w:rPr>
                <w:szCs w:val="20"/>
              </w:rPr>
            </w:pPr>
          </w:p>
          <w:p w14:paraId="6B7AD6FC" w14:textId="7ABB10F8" w:rsidR="00D403C5" w:rsidRDefault="008A4EBD" w:rsidP="00BD77FB">
            <w:pPr>
              <w:pStyle w:val="NoSpacing"/>
              <w:rPr>
                <w:szCs w:val="20"/>
              </w:rPr>
            </w:pPr>
            <w:r w:rsidRPr="005A0032">
              <w:rPr>
                <w:szCs w:val="20"/>
              </w:rPr>
              <w:t xml:space="preserve">This method allows </w:t>
            </w:r>
            <w:r w:rsidR="00FC07E2" w:rsidRPr="005A0032">
              <w:rPr>
                <w:szCs w:val="20"/>
              </w:rPr>
              <w:t xml:space="preserve">to </w:t>
            </w:r>
            <w:r w:rsidR="00EA0C87" w:rsidRPr="005A0032">
              <w:rPr>
                <w:szCs w:val="20"/>
              </w:rPr>
              <w:t>monitor</w:t>
            </w:r>
            <w:r w:rsidR="0036572E" w:rsidRPr="005A0032">
              <w:rPr>
                <w:szCs w:val="20"/>
              </w:rPr>
              <w:t xml:space="preserve"> the species</w:t>
            </w:r>
            <w:r w:rsidRPr="005A0032">
              <w:rPr>
                <w:szCs w:val="20"/>
              </w:rPr>
              <w:t xml:space="preserve"> </w:t>
            </w:r>
            <w:r w:rsidR="00A80D73">
              <w:rPr>
                <w:szCs w:val="20"/>
              </w:rPr>
              <w:t xml:space="preserve">by </w:t>
            </w:r>
            <w:r w:rsidRPr="005A0032">
              <w:rPr>
                <w:szCs w:val="20"/>
              </w:rPr>
              <w:t>collecting water s</w:t>
            </w:r>
            <w:r w:rsidR="0036572E" w:rsidRPr="005A0032">
              <w:rPr>
                <w:szCs w:val="20"/>
              </w:rPr>
              <w:t xml:space="preserve">amples. </w:t>
            </w:r>
            <w:r w:rsidRPr="005A0032">
              <w:rPr>
                <w:szCs w:val="20"/>
              </w:rPr>
              <w:t xml:space="preserve">The content of an eDNA sample is analysed by amplification using polymerase chain reaction (PCR) and DNA sequencing. </w:t>
            </w:r>
            <w:r w:rsidR="00045B89" w:rsidRPr="005A0032">
              <w:rPr>
                <w:szCs w:val="20"/>
              </w:rPr>
              <w:t>Professional</w:t>
            </w:r>
            <w:r w:rsidR="00045B89">
              <w:rPr>
                <w:szCs w:val="20"/>
              </w:rPr>
              <w:t>s</w:t>
            </w:r>
            <w:r w:rsidR="00045B89" w:rsidRPr="005A0032">
              <w:rPr>
                <w:szCs w:val="20"/>
              </w:rPr>
              <w:t xml:space="preserve"> </w:t>
            </w:r>
            <w:r w:rsidR="00045B89">
              <w:rPr>
                <w:szCs w:val="20"/>
              </w:rPr>
              <w:t xml:space="preserve">must </w:t>
            </w:r>
            <w:r w:rsidR="00045B89" w:rsidRPr="005A0032">
              <w:rPr>
                <w:szCs w:val="20"/>
              </w:rPr>
              <w:t>perform the analysis</w:t>
            </w:r>
            <w:r w:rsidR="00045B89">
              <w:rPr>
                <w:szCs w:val="20"/>
              </w:rPr>
              <w:t>,</w:t>
            </w:r>
            <w:r w:rsidR="00045B89" w:rsidRPr="005A0032">
              <w:rPr>
                <w:szCs w:val="20"/>
              </w:rPr>
              <w:t xml:space="preserve"> </w:t>
            </w:r>
            <w:r w:rsidR="00045B89">
              <w:rPr>
                <w:szCs w:val="20"/>
              </w:rPr>
              <w:t>but w</w:t>
            </w:r>
            <w:r w:rsidR="00045B89" w:rsidRPr="005A0032">
              <w:rPr>
                <w:szCs w:val="20"/>
              </w:rPr>
              <w:t>ater samples could also be collected by volunteers.</w:t>
            </w:r>
            <w:r w:rsidR="00045B89">
              <w:rPr>
                <w:szCs w:val="20"/>
              </w:rPr>
              <w:t xml:space="preserve"> </w:t>
            </w:r>
            <w:r w:rsidR="00F928B4" w:rsidRPr="005A0032">
              <w:rPr>
                <w:szCs w:val="20"/>
              </w:rPr>
              <w:t xml:space="preserve">One or </w:t>
            </w:r>
            <w:r w:rsidR="00EB35E8" w:rsidRPr="005A0032">
              <w:rPr>
                <w:szCs w:val="20"/>
              </w:rPr>
              <w:t>multiple</w:t>
            </w:r>
            <w:r w:rsidR="00F928B4" w:rsidRPr="005A0032">
              <w:rPr>
                <w:szCs w:val="20"/>
              </w:rPr>
              <w:t xml:space="preserve"> species can be detected using the </w:t>
            </w:r>
            <w:r w:rsidR="00EB35E8" w:rsidRPr="005A0032">
              <w:rPr>
                <w:szCs w:val="20"/>
              </w:rPr>
              <w:t>specific</w:t>
            </w:r>
            <w:r w:rsidR="00F928B4" w:rsidRPr="005A0032">
              <w:rPr>
                <w:szCs w:val="20"/>
              </w:rPr>
              <w:t xml:space="preserve"> primers</w:t>
            </w:r>
            <w:r w:rsidR="00EB35E8" w:rsidRPr="005A0032">
              <w:rPr>
                <w:szCs w:val="20"/>
              </w:rPr>
              <w:t xml:space="preserve"> (Egan et al., 2013; Blackman et al., 2018). </w:t>
            </w:r>
            <w:r w:rsidR="00D403C5" w:rsidRPr="005A0032">
              <w:rPr>
                <w:szCs w:val="20"/>
              </w:rPr>
              <w:t xml:space="preserve">This measure can </w:t>
            </w:r>
            <w:r w:rsidR="00FD7DA6">
              <w:rPr>
                <w:szCs w:val="20"/>
              </w:rPr>
              <w:t xml:space="preserve">also </w:t>
            </w:r>
            <w:r w:rsidR="00D403C5" w:rsidRPr="005A0032">
              <w:rPr>
                <w:szCs w:val="20"/>
              </w:rPr>
              <w:t xml:space="preserve">be used to detect other aquatic alien species of Union Concern, assuming the </w:t>
            </w:r>
            <w:r w:rsidR="00FD7DA6">
              <w:rPr>
                <w:szCs w:val="20"/>
              </w:rPr>
              <w:t xml:space="preserve">necessary </w:t>
            </w:r>
            <w:r w:rsidR="00D403C5" w:rsidRPr="005A0032">
              <w:rPr>
                <w:szCs w:val="20"/>
              </w:rPr>
              <w:t>primers</w:t>
            </w:r>
            <w:r w:rsidR="00FD7DA6">
              <w:rPr>
                <w:szCs w:val="20"/>
              </w:rPr>
              <w:t xml:space="preserve"> are available</w:t>
            </w:r>
            <w:r w:rsidR="00D403C5" w:rsidRPr="005A0032">
              <w:rPr>
                <w:szCs w:val="20"/>
              </w:rPr>
              <w:t>.</w:t>
            </w:r>
          </w:p>
          <w:p w14:paraId="0357F7E8" w14:textId="1CEDD7C1" w:rsidR="005A0032" w:rsidRPr="004203E6" w:rsidRDefault="005A0032" w:rsidP="00BD77FB">
            <w:pPr>
              <w:pStyle w:val="NoSpacing"/>
              <w:rPr>
                <w:sz w:val="20"/>
                <w:szCs w:val="20"/>
              </w:rPr>
            </w:pPr>
          </w:p>
        </w:tc>
      </w:tr>
      <w:tr w:rsidR="00E65D9C" w:rsidRPr="00DF3987" w14:paraId="02AA4DF8" w14:textId="77777777" w:rsidTr="00417F5A">
        <w:trPr>
          <w:trHeight w:val="517"/>
        </w:trPr>
        <w:tc>
          <w:tcPr>
            <w:tcW w:w="3295" w:type="dxa"/>
            <w:tcBorders>
              <w:bottom w:val="single" w:sz="4" w:space="0" w:color="auto"/>
            </w:tcBorders>
            <w:shd w:val="clear" w:color="auto" w:fill="F2DBDB" w:themeFill="accent2" w:themeFillTint="33"/>
          </w:tcPr>
          <w:p w14:paraId="5FE5E083" w14:textId="77777777" w:rsidR="00E65D9C" w:rsidRDefault="00E65D9C" w:rsidP="00417F5A">
            <w:pPr>
              <w:pStyle w:val="NoSpacing"/>
              <w:rPr>
                <w:b/>
              </w:rPr>
            </w:pPr>
            <w:r>
              <w:rPr>
                <w:b/>
              </w:rPr>
              <w:lastRenderedPageBreak/>
              <w:t>Scale of application</w:t>
            </w:r>
          </w:p>
          <w:p w14:paraId="10E2E4B9" w14:textId="77777777" w:rsidR="00E65D9C" w:rsidRDefault="00E65D9C" w:rsidP="00417F5A">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p w14:paraId="6B6D4C98" w14:textId="77777777" w:rsidR="00E65D9C" w:rsidRPr="00DE32F5" w:rsidRDefault="00E65D9C" w:rsidP="00417F5A">
            <w:pPr>
              <w:pStyle w:val="NoSpacing"/>
              <w:rPr>
                <w:sz w:val="20"/>
              </w:rPr>
            </w:pPr>
          </w:p>
        </w:tc>
        <w:tc>
          <w:tcPr>
            <w:tcW w:w="10653" w:type="dxa"/>
            <w:tcBorders>
              <w:bottom w:val="single" w:sz="4" w:space="0" w:color="auto"/>
            </w:tcBorders>
          </w:tcPr>
          <w:p w14:paraId="5B2056AF" w14:textId="7A2A05F9" w:rsidR="00E65D9C" w:rsidRPr="00DF3987" w:rsidRDefault="00AE7529" w:rsidP="00AE7529">
            <w:r>
              <w:rPr>
                <w:szCs w:val="20"/>
              </w:rPr>
              <w:t>The s</w:t>
            </w:r>
            <w:r w:rsidR="00D17ECF" w:rsidRPr="005A0032">
              <w:rPr>
                <w:szCs w:val="20"/>
              </w:rPr>
              <w:t>cale of application d</w:t>
            </w:r>
            <w:r w:rsidR="00900624" w:rsidRPr="005A0032">
              <w:rPr>
                <w:szCs w:val="20"/>
              </w:rPr>
              <w:t>epend</w:t>
            </w:r>
            <w:r w:rsidR="00D17ECF" w:rsidRPr="005A0032">
              <w:rPr>
                <w:szCs w:val="20"/>
              </w:rPr>
              <w:t>s</w:t>
            </w:r>
            <w:r w:rsidR="00900624" w:rsidRPr="005A0032">
              <w:rPr>
                <w:szCs w:val="20"/>
              </w:rPr>
              <w:t xml:space="preserve"> on the number of water bodies sampled; in some Member </w:t>
            </w:r>
            <w:r>
              <w:rPr>
                <w:szCs w:val="20"/>
              </w:rPr>
              <w:t>S</w:t>
            </w:r>
            <w:r w:rsidR="00900624" w:rsidRPr="005A0032">
              <w:rPr>
                <w:szCs w:val="20"/>
              </w:rPr>
              <w:t>tates</w:t>
            </w:r>
            <w:r>
              <w:rPr>
                <w:szCs w:val="20"/>
              </w:rPr>
              <w:t>,</w:t>
            </w:r>
            <w:r w:rsidR="00900624" w:rsidRPr="005A0032">
              <w:rPr>
                <w:szCs w:val="20"/>
              </w:rPr>
              <w:t xml:space="preserve"> this </w:t>
            </w:r>
            <w:r w:rsidR="00585FAD" w:rsidRPr="005A0032">
              <w:rPr>
                <w:szCs w:val="20"/>
              </w:rPr>
              <w:t>could be</w:t>
            </w:r>
            <w:r w:rsidR="00900624" w:rsidRPr="005A0032">
              <w:rPr>
                <w:szCs w:val="20"/>
              </w:rPr>
              <w:t xml:space="preserve"> large</w:t>
            </w:r>
            <w:r w:rsidR="00585FAD" w:rsidRPr="005A0032">
              <w:rPr>
                <w:szCs w:val="20"/>
              </w:rPr>
              <w:t>.</w:t>
            </w:r>
          </w:p>
        </w:tc>
      </w:tr>
      <w:tr w:rsidR="00E65D9C" w:rsidRPr="002B6463" w14:paraId="340E127E" w14:textId="77777777" w:rsidTr="00417F5A">
        <w:trPr>
          <w:trHeight w:val="2222"/>
        </w:trPr>
        <w:tc>
          <w:tcPr>
            <w:tcW w:w="3295" w:type="dxa"/>
            <w:tcBorders>
              <w:top w:val="single" w:sz="4" w:space="0" w:color="auto"/>
            </w:tcBorders>
            <w:shd w:val="clear" w:color="auto" w:fill="F2DBDB" w:themeFill="accent2" w:themeFillTint="33"/>
          </w:tcPr>
          <w:p w14:paraId="5A7DE721" w14:textId="50A98EBE" w:rsidR="00E65D9C" w:rsidRPr="0039672E" w:rsidRDefault="00E65D9C" w:rsidP="00417F5A">
            <w:pPr>
              <w:pStyle w:val="NoSpacing"/>
              <w:rPr>
                <w:b/>
              </w:rPr>
            </w:pPr>
            <w:r w:rsidRPr="0039672E">
              <w:rPr>
                <w:b/>
              </w:rPr>
              <w:t xml:space="preserve">Effectiveness of </w:t>
            </w:r>
            <w:r>
              <w:rPr>
                <w:b/>
              </w:rPr>
              <w:t xml:space="preserve">the </w:t>
            </w:r>
            <w:r w:rsidRPr="0039672E">
              <w:rPr>
                <w:b/>
              </w:rPr>
              <w:t>measure</w:t>
            </w:r>
          </w:p>
          <w:p w14:paraId="2B18B422" w14:textId="77777777" w:rsidR="00E65D9C" w:rsidRPr="0039672E" w:rsidRDefault="00E65D9C" w:rsidP="00417F5A">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6DC35058" w14:textId="77777777" w:rsidR="00E65D9C" w:rsidRDefault="00E65D9C" w:rsidP="00417F5A">
            <w:pPr>
              <w:pStyle w:val="NoSpacing"/>
              <w:rPr>
                <w:sz w:val="20"/>
              </w:rPr>
            </w:pPr>
          </w:p>
          <w:p w14:paraId="78EE318F" w14:textId="77777777" w:rsidR="00E65D9C" w:rsidRPr="00DE32F5" w:rsidRDefault="00E65D9C" w:rsidP="00417F5A">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417"/>
              <w:gridCol w:w="425"/>
              <w:gridCol w:w="1418"/>
              <w:gridCol w:w="425"/>
              <w:gridCol w:w="1418"/>
              <w:gridCol w:w="283"/>
              <w:gridCol w:w="1418"/>
              <w:gridCol w:w="425"/>
            </w:tblGrid>
            <w:tr w:rsidR="00E65D9C" w14:paraId="611B4AFE" w14:textId="77777777" w:rsidTr="00417F5A">
              <w:tc>
                <w:tcPr>
                  <w:tcW w:w="2116" w:type="dxa"/>
                </w:tcPr>
                <w:p w14:paraId="64F022DF" w14:textId="77777777" w:rsidR="00E65D9C" w:rsidRPr="002E17F6" w:rsidRDefault="00E65D9C" w:rsidP="00417F5A">
                  <w:pPr>
                    <w:pStyle w:val="NoSpacing"/>
                    <w:rPr>
                      <w:b/>
                      <w:i/>
                      <w:sz w:val="20"/>
                    </w:rPr>
                  </w:pPr>
                  <w:r>
                    <w:rPr>
                      <w:b/>
                      <w:i/>
                      <w:sz w:val="20"/>
                    </w:rPr>
                    <w:t>Effectiveness of measures</w:t>
                  </w:r>
                </w:p>
              </w:tc>
              <w:tc>
                <w:tcPr>
                  <w:tcW w:w="1417" w:type="dxa"/>
                </w:tcPr>
                <w:p w14:paraId="6B76C2D0" w14:textId="77777777" w:rsidR="00E65D9C" w:rsidRDefault="00E65D9C" w:rsidP="00417F5A">
                  <w:pPr>
                    <w:pStyle w:val="NoSpacing"/>
                    <w:jc w:val="right"/>
                    <w:rPr>
                      <w:i/>
                      <w:sz w:val="20"/>
                    </w:rPr>
                  </w:pPr>
                  <w:r>
                    <w:rPr>
                      <w:i/>
                      <w:sz w:val="20"/>
                    </w:rPr>
                    <w:t>Effective</w:t>
                  </w:r>
                </w:p>
              </w:tc>
              <w:tc>
                <w:tcPr>
                  <w:tcW w:w="425" w:type="dxa"/>
                  <w:shd w:val="clear" w:color="auto" w:fill="F2DBDB" w:themeFill="accent2" w:themeFillTint="33"/>
                </w:tcPr>
                <w:p w14:paraId="461CA4CA" w14:textId="77777777" w:rsidR="00E65D9C" w:rsidRDefault="00E65D9C" w:rsidP="00417F5A">
                  <w:pPr>
                    <w:pStyle w:val="NoSpacing"/>
                    <w:jc w:val="right"/>
                    <w:rPr>
                      <w:i/>
                      <w:sz w:val="20"/>
                    </w:rPr>
                  </w:pPr>
                </w:p>
              </w:tc>
              <w:tc>
                <w:tcPr>
                  <w:tcW w:w="1418" w:type="dxa"/>
                </w:tcPr>
                <w:p w14:paraId="53EAC3B5" w14:textId="77777777" w:rsidR="00E65D9C" w:rsidRDefault="00E65D9C" w:rsidP="00417F5A">
                  <w:pPr>
                    <w:pStyle w:val="NoSpacing"/>
                    <w:jc w:val="right"/>
                    <w:rPr>
                      <w:i/>
                      <w:sz w:val="20"/>
                    </w:rPr>
                  </w:pPr>
                  <w:r>
                    <w:rPr>
                      <w:i/>
                      <w:sz w:val="20"/>
                    </w:rPr>
                    <w:t xml:space="preserve">Neutral </w:t>
                  </w:r>
                </w:p>
              </w:tc>
              <w:tc>
                <w:tcPr>
                  <w:tcW w:w="425" w:type="dxa"/>
                  <w:shd w:val="clear" w:color="auto" w:fill="F2DBDB" w:themeFill="accent2" w:themeFillTint="33"/>
                </w:tcPr>
                <w:p w14:paraId="7062C6ED" w14:textId="48172B9E" w:rsidR="00E65D9C" w:rsidRDefault="00741C42" w:rsidP="00417F5A">
                  <w:pPr>
                    <w:pStyle w:val="NoSpacing"/>
                    <w:jc w:val="right"/>
                    <w:rPr>
                      <w:i/>
                      <w:sz w:val="20"/>
                    </w:rPr>
                  </w:pPr>
                  <w:r>
                    <w:rPr>
                      <w:i/>
                      <w:sz w:val="20"/>
                    </w:rPr>
                    <w:t>X</w:t>
                  </w:r>
                </w:p>
              </w:tc>
              <w:tc>
                <w:tcPr>
                  <w:tcW w:w="1418" w:type="dxa"/>
                </w:tcPr>
                <w:p w14:paraId="18765994" w14:textId="77777777" w:rsidR="00E65D9C" w:rsidRDefault="00E65D9C" w:rsidP="00417F5A">
                  <w:pPr>
                    <w:pStyle w:val="NoSpacing"/>
                    <w:jc w:val="right"/>
                    <w:rPr>
                      <w:i/>
                      <w:sz w:val="20"/>
                    </w:rPr>
                  </w:pPr>
                  <w:r>
                    <w:rPr>
                      <w:i/>
                      <w:sz w:val="20"/>
                    </w:rPr>
                    <w:t>Ineffective</w:t>
                  </w:r>
                </w:p>
              </w:tc>
              <w:tc>
                <w:tcPr>
                  <w:tcW w:w="283" w:type="dxa"/>
                  <w:shd w:val="clear" w:color="auto" w:fill="F2DBDB" w:themeFill="accent2" w:themeFillTint="33"/>
                </w:tcPr>
                <w:p w14:paraId="0F573066" w14:textId="77777777" w:rsidR="00E65D9C" w:rsidRDefault="00E65D9C" w:rsidP="00417F5A">
                  <w:pPr>
                    <w:pStyle w:val="NoSpacing"/>
                    <w:rPr>
                      <w:i/>
                      <w:sz w:val="20"/>
                    </w:rPr>
                  </w:pPr>
                </w:p>
              </w:tc>
              <w:tc>
                <w:tcPr>
                  <w:tcW w:w="1418" w:type="dxa"/>
                  <w:shd w:val="clear" w:color="auto" w:fill="auto"/>
                </w:tcPr>
                <w:p w14:paraId="1EE88449" w14:textId="77777777" w:rsidR="00E65D9C" w:rsidRDefault="00E65D9C" w:rsidP="00417F5A">
                  <w:pPr>
                    <w:pStyle w:val="NoSpacing"/>
                    <w:rPr>
                      <w:i/>
                      <w:sz w:val="20"/>
                    </w:rPr>
                  </w:pPr>
                  <w:r>
                    <w:rPr>
                      <w:i/>
                      <w:sz w:val="20"/>
                    </w:rPr>
                    <w:t>Unknown</w:t>
                  </w:r>
                </w:p>
              </w:tc>
              <w:tc>
                <w:tcPr>
                  <w:tcW w:w="425" w:type="dxa"/>
                  <w:shd w:val="clear" w:color="auto" w:fill="F2DBDB" w:themeFill="accent2" w:themeFillTint="33"/>
                </w:tcPr>
                <w:p w14:paraId="5927A615" w14:textId="77777777" w:rsidR="00E65D9C" w:rsidRDefault="00E65D9C" w:rsidP="00417F5A">
                  <w:pPr>
                    <w:pStyle w:val="NoSpacing"/>
                    <w:rPr>
                      <w:i/>
                      <w:sz w:val="20"/>
                    </w:rPr>
                  </w:pPr>
                </w:p>
              </w:tc>
            </w:tr>
          </w:tbl>
          <w:p w14:paraId="6F18EA88" w14:textId="77777777" w:rsidR="00E65D9C" w:rsidRDefault="00E65D9C" w:rsidP="00417F5A">
            <w:pPr>
              <w:pStyle w:val="NoSpacing"/>
              <w:rPr>
                <w:i/>
                <w:sz w:val="20"/>
              </w:rPr>
            </w:pPr>
          </w:p>
          <w:p w14:paraId="29EA51B4" w14:textId="77777777" w:rsidR="00E65D9C" w:rsidRDefault="00E65D9C" w:rsidP="00417F5A">
            <w:pPr>
              <w:pStyle w:val="NoSpacing"/>
              <w:rPr>
                <w:sz w:val="20"/>
              </w:rPr>
            </w:pPr>
            <w:r w:rsidRPr="00C856F5">
              <w:rPr>
                <w:i/>
                <w:sz w:val="20"/>
              </w:rPr>
              <w:t>Rationale</w:t>
            </w:r>
            <w:r>
              <w:rPr>
                <w:sz w:val="20"/>
              </w:rPr>
              <w:t>:</w:t>
            </w:r>
          </w:p>
          <w:p w14:paraId="42D10100" w14:textId="544DCDB7" w:rsidR="000A2982" w:rsidRPr="005A0032" w:rsidRDefault="007202A0" w:rsidP="00DC1988">
            <w:pPr>
              <w:pStyle w:val="NoSpacing"/>
            </w:pPr>
            <w:r w:rsidRPr="005A0032">
              <w:t>In a management context, there are two major advantages of eDNA methods over traditional methods: (i) increased sensitivity, that is, increased probability of detecting a species if it is present; and (ii) potentially lower costs, especially as eDNA methods increase in portability and automation (Egan et al., 2013). However, t</w:t>
            </w:r>
            <w:r w:rsidR="00890BA8" w:rsidRPr="005A0032">
              <w:t xml:space="preserve">he </w:t>
            </w:r>
            <w:r w:rsidR="004C7749" w:rsidRPr="005A0032">
              <w:t xml:space="preserve">detection ability </w:t>
            </w:r>
            <w:r w:rsidR="004E4500" w:rsidRPr="005A0032">
              <w:t xml:space="preserve">varies </w:t>
            </w:r>
            <w:r w:rsidR="00890BA8" w:rsidRPr="005A0032">
              <w:t>among species due to differences in methods, environmental conditions</w:t>
            </w:r>
            <w:r w:rsidR="00B23A36" w:rsidRPr="005A0032">
              <w:t xml:space="preserve">, </w:t>
            </w:r>
            <w:r w:rsidR="00890BA8" w:rsidRPr="005A0032">
              <w:t>target species behaviour</w:t>
            </w:r>
            <w:r w:rsidR="005243E2" w:rsidRPr="005A0032">
              <w:t xml:space="preserve">, </w:t>
            </w:r>
            <w:r w:rsidR="00B23A36" w:rsidRPr="005A0032">
              <w:t xml:space="preserve">population </w:t>
            </w:r>
            <w:r w:rsidR="005243E2" w:rsidRPr="005A0032">
              <w:t xml:space="preserve">and the minimal threshold of DNA needed to positively confirm the presence of a target taxa </w:t>
            </w:r>
            <w:r w:rsidR="00890BA8" w:rsidRPr="005A0032">
              <w:t>(</w:t>
            </w:r>
            <w:proofErr w:type="spellStart"/>
            <w:r w:rsidR="00F23FDD" w:rsidRPr="005A0032">
              <w:t>Ficetola</w:t>
            </w:r>
            <w:proofErr w:type="spellEnd"/>
            <w:r w:rsidR="00F23FDD" w:rsidRPr="005A0032">
              <w:t xml:space="preserve"> et al., 2008; </w:t>
            </w:r>
            <w:r w:rsidR="00471ED1" w:rsidRPr="005A0032">
              <w:t xml:space="preserve">Egan et al., 2013; </w:t>
            </w:r>
            <w:proofErr w:type="spellStart"/>
            <w:r w:rsidR="00890BA8" w:rsidRPr="005A0032">
              <w:t>Furlan</w:t>
            </w:r>
            <w:proofErr w:type="spellEnd"/>
            <w:r w:rsidR="00890BA8" w:rsidRPr="005A0032">
              <w:t xml:space="preserve"> et al., 2016). </w:t>
            </w:r>
          </w:p>
          <w:p w14:paraId="0865002F" w14:textId="77777777" w:rsidR="00E65D9C" w:rsidRDefault="00116065" w:rsidP="00741C42">
            <w:pPr>
              <w:pStyle w:val="NoSpacing"/>
            </w:pPr>
            <w:r w:rsidRPr="005A0032">
              <w:t xml:space="preserve">The use of eDNA as a monitoring tool in freshwater systems is becoming increasingly acceptable and widely used for the detection of single species. Techniques are improving, so </w:t>
            </w:r>
            <w:r w:rsidR="00741C42" w:rsidRPr="005A0032">
              <w:t xml:space="preserve">effectiveness of the measure will increase in the future. </w:t>
            </w:r>
          </w:p>
          <w:p w14:paraId="1D4D2841" w14:textId="68185440" w:rsidR="005A0032" w:rsidRPr="002B6463" w:rsidRDefault="005A0032" w:rsidP="00741C42">
            <w:pPr>
              <w:pStyle w:val="NoSpacing"/>
              <w:rPr>
                <w:sz w:val="20"/>
              </w:rPr>
            </w:pPr>
          </w:p>
        </w:tc>
      </w:tr>
      <w:tr w:rsidR="00E65D9C" w:rsidRPr="002B6463" w14:paraId="5C521D90" w14:textId="77777777" w:rsidTr="00417F5A">
        <w:tc>
          <w:tcPr>
            <w:tcW w:w="3295" w:type="dxa"/>
            <w:shd w:val="clear" w:color="auto" w:fill="F2DBDB" w:themeFill="accent2" w:themeFillTint="33"/>
          </w:tcPr>
          <w:p w14:paraId="1AE82D30" w14:textId="77777777" w:rsidR="00E65D9C" w:rsidRPr="0039672E" w:rsidRDefault="00E65D9C" w:rsidP="00417F5A">
            <w:pPr>
              <w:pStyle w:val="NoSpacing"/>
              <w:rPr>
                <w:b/>
              </w:rPr>
            </w:pPr>
            <w:r w:rsidRPr="0039672E">
              <w:rPr>
                <w:b/>
              </w:rPr>
              <w:t>Effort required</w:t>
            </w:r>
          </w:p>
          <w:p w14:paraId="581A53DE" w14:textId="77777777" w:rsidR="00E65D9C" w:rsidRPr="002B6463" w:rsidRDefault="00E65D9C" w:rsidP="00417F5A">
            <w:pPr>
              <w:pStyle w:val="NoSpacing"/>
              <w:rPr>
                <w:sz w:val="20"/>
              </w:rPr>
            </w:pPr>
            <w:r w:rsidRPr="00EA6987">
              <w:rPr>
                <w:sz w:val="20"/>
              </w:rPr>
              <w:t>e.g. period of time over which measure need</w:t>
            </w:r>
            <w:r>
              <w:rPr>
                <w:sz w:val="20"/>
              </w:rPr>
              <w:t>s</w:t>
            </w:r>
            <w:r w:rsidRPr="00EA6987">
              <w:rPr>
                <w:sz w:val="20"/>
              </w:rPr>
              <w:t xml:space="preserve"> to be applied to have results</w:t>
            </w:r>
          </w:p>
        </w:tc>
        <w:tc>
          <w:tcPr>
            <w:tcW w:w="10653" w:type="dxa"/>
          </w:tcPr>
          <w:p w14:paraId="091C40A5" w14:textId="39340F87" w:rsidR="00E65D9C" w:rsidRDefault="00C14F20" w:rsidP="00417F5A">
            <w:pPr>
              <w:pStyle w:val="NoSpacing"/>
            </w:pPr>
            <w:r w:rsidRPr="005A0032">
              <w:t>Surveillance effort should be high</w:t>
            </w:r>
            <w:r w:rsidR="00C6608C">
              <w:t>,</w:t>
            </w:r>
            <w:r w:rsidRPr="005A0032">
              <w:t xml:space="preserve"> </w:t>
            </w:r>
            <w:r w:rsidR="00C6608C">
              <w:t xml:space="preserve">in order </w:t>
            </w:r>
            <w:r w:rsidRPr="005A0032">
              <w:t>to have high certainty of locating rare or recently arrived</w:t>
            </w:r>
            <w:r w:rsidR="00D14BFA">
              <w:t>,</w:t>
            </w:r>
            <w:r w:rsidRPr="005A0032">
              <w:t xml:space="preserve"> and established</w:t>
            </w:r>
            <w:r w:rsidR="00D14BFA">
              <w:t>,</w:t>
            </w:r>
            <w:r w:rsidRPr="005A0032">
              <w:t xml:space="preserve"> species. It can be applied year-round (for example month</w:t>
            </w:r>
            <w:r w:rsidR="00894EBB" w:rsidRPr="005A0032">
              <w:t>ly</w:t>
            </w:r>
            <w:r w:rsidRPr="005A0032">
              <w:t>) and water samples can be collected also by people involved in the network</w:t>
            </w:r>
            <w:r w:rsidR="00464EA3" w:rsidRPr="005A0032">
              <w:t xml:space="preserve"> of surveillance</w:t>
            </w:r>
            <w:r w:rsidRPr="005A0032">
              <w:t>.</w:t>
            </w:r>
          </w:p>
          <w:p w14:paraId="051045CB" w14:textId="636086B2" w:rsidR="00AE7529" w:rsidRPr="005A0032" w:rsidRDefault="00AE7529" w:rsidP="00417F5A">
            <w:pPr>
              <w:pStyle w:val="NoSpacing"/>
            </w:pPr>
          </w:p>
        </w:tc>
      </w:tr>
      <w:tr w:rsidR="00E65D9C" w:rsidRPr="002B6463" w14:paraId="1A03215B" w14:textId="77777777" w:rsidTr="00417F5A">
        <w:tc>
          <w:tcPr>
            <w:tcW w:w="3295" w:type="dxa"/>
            <w:shd w:val="clear" w:color="auto" w:fill="F2DBDB" w:themeFill="accent2" w:themeFillTint="33"/>
          </w:tcPr>
          <w:p w14:paraId="55450C94" w14:textId="77777777" w:rsidR="00E65D9C" w:rsidRPr="0039672E" w:rsidRDefault="00E65D9C" w:rsidP="00417F5A">
            <w:pPr>
              <w:pStyle w:val="NoSpacing"/>
              <w:rPr>
                <w:b/>
                <w:sz w:val="24"/>
                <w:vertAlign w:val="superscript"/>
              </w:rPr>
            </w:pPr>
            <w:r w:rsidRPr="0039672E">
              <w:rPr>
                <w:b/>
              </w:rPr>
              <w:t>Resources required</w:t>
            </w:r>
            <w:r>
              <w:rPr>
                <w:b/>
              </w:rPr>
              <w:t xml:space="preserve"> </w:t>
            </w:r>
            <w:r>
              <w:rPr>
                <w:b/>
                <w:vertAlign w:val="superscript"/>
              </w:rPr>
              <w:t>1</w:t>
            </w:r>
          </w:p>
          <w:p w14:paraId="55007FDA" w14:textId="77777777" w:rsidR="00E65D9C" w:rsidRPr="002B6463" w:rsidRDefault="00E65D9C" w:rsidP="00417F5A">
            <w:pPr>
              <w:pStyle w:val="NoSpacing"/>
              <w:rPr>
                <w:sz w:val="20"/>
              </w:rPr>
            </w:pPr>
            <w:r>
              <w:rPr>
                <w:sz w:val="20"/>
              </w:rPr>
              <w:t>e.g. cost, staff, equipment etc.</w:t>
            </w:r>
          </w:p>
        </w:tc>
        <w:tc>
          <w:tcPr>
            <w:tcW w:w="10653" w:type="dxa"/>
          </w:tcPr>
          <w:p w14:paraId="7312C50B" w14:textId="2D19DB4C" w:rsidR="00E65D9C" w:rsidRDefault="007906FC" w:rsidP="00DA30AB">
            <w:pPr>
              <w:rPr>
                <w:szCs w:val="20"/>
              </w:rPr>
            </w:pPr>
            <w:r w:rsidRPr="005A0032">
              <w:rPr>
                <w:szCs w:val="20"/>
              </w:rPr>
              <w:t>Costs include dedicated personnel, laboratory consumable</w:t>
            </w:r>
            <w:r w:rsidR="00A54D3F" w:rsidRPr="005A0032">
              <w:rPr>
                <w:szCs w:val="20"/>
              </w:rPr>
              <w:t xml:space="preserve">s, </w:t>
            </w:r>
            <w:r w:rsidR="00A80D73">
              <w:rPr>
                <w:szCs w:val="20"/>
              </w:rPr>
              <w:t xml:space="preserve">and </w:t>
            </w:r>
            <w:r w:rsidR="00A54D3F" w:rsidRPr="005A0032">
              <w:rPr>
                <w:szCs w:val="20"/>
              </w:rPr>
              <w:t>dedicated equipment</w:t>
            </w:r>
            <w:r w:rsidR="000A5051" w:rsidRPr="005A0032">
              <w:rPr>
                <w:szCs w:val="20"/>
              </w:rPr>
              <w:t xml:space="preserve"> (e.g. PCR).</w:t>
            </w:r>
            <w:r w:rsidR="004C3E16" w:rsidRPr="005A0032">
              <w:rPr>
                <w:szCs w:val="20"/>
              </w:rPr>
              <w:t xml:space="preserve"> </w:t>
            </w:r>
            <w:r w:rsidR="00D14BFA">
              <w:rPr>
                <w:szCs w:val="20"/>
              </w:rPr>
              <w:t>The t</w:t>
            </w:r>
            <w:r w:rsidR="004C3E16" w:rsidRPr="005A0032">
              <w:rPr>
                <w:szCs w:val="20"/>
              </w:rPr>
              <w:t>echnique is improving</w:t>
            </w:r>
            <w:r w:rsidR="00D14BFA">
              <w:rPr>
                <w:szCs w:val="20"/>
              </w:rPr>
              <w:t>,</w:t>
            </w:r>
            <w:r w:rsidR="004C3E16" w:rsidRPr="005A0032">
              <w:rPr>
                <w:szCs w:val="20"/>
              </w:rPr>
              <w:t xml:space="preserve"> thus costs are decreasing. </w:t>
            </w:r>
            <w:r w:rsidR="00FB3B92" w:rsidRPr="005A0032">
              <w:rPr>
                <w:szCs w:val="20"/>
              </w:rPr>
              <w:t xml:space="preserve">According to </w:t>
            </w:r>
            <w:proofErr w:type="spellStart"/>
            <w:r w:rsidR="00FB3B92" w:rsidRPr="005A0032">
              <w:rPr>
                <w:szCs w:val="20"/>
              </w:rPr>
              <w:t>Zogaris</w:t>
            </w:r>
            <w:proofErr w:type="spellEnd"/>
            <w:r w:rsidR="00FB3B92" w:rsidRPr="005A0032">
              <w:rPr>
                <w:szCs w:val="20"/>
              </w:rPr>
              <w:t xml:space="preserve"> (2017), </w:t>
            </w:r>
            <w:r w:rsidR="00AF2666" w:rsidRPr="005A0032">
              <w:rPr>
                <w:szCs w:val="20"/>
              </w:rPr>
              <w:t>“</w:t>
            </w:r>
            <w:r w:rsidR="00F43836" w:rsidRPr="005A0032">
              <w:rPr>
                <w:szCs w:val="20"/>
              </w:rPr>
              <w:t xml:space="preserve">setting up the lab (PCR equipment etc) would cost a minimum of € 20,000, while </w:t>
            </w:r>
            <w:r w:rsidR="00D14BFA" w:rsidRPr="005A0032">
              <w:rPr>
                <w:szCs w:val="20"/>
              </w:rPr>
              <w:t>c</w:t>
            </w:r>
            <w:r w:rsidR="00D14BFA">
              <w:rPr>
                <w:szCs w:val="20"/>
              </w:rPr>
              <w:t>.</w:t>
            </w:r>
            <w:r w:rsidR="00D14BFA" w:rsidRPr="005A0032">
              <w:rPr>
                <w:szCs w:val="20"/>
              </w:rPr>
              <w:t xml:space="preserve"> </w:t>
            </w:r>
            <w:r w:rsidR="00F43836" w:rsidRPr="005A0032">
              <w:rPr>
                <w:szCs w:val="20"/>
              </w:rPr>
              <w:t xml:space="preserve">€30,000 </w:t>
            </w:r>
            <w:r w:rsidR="007724DD" w:rsidRPr="005A0032">
              <w:rPr>
                <w:szCs w:val="20"/>
              </w:rPr>
              <w:t xml:space="preserve">could be estimated for </w:t>
            </w:r>
            <w:r w:rsidR="00151E07">
              <w:rPr>
                <w:szCs w:val="20"/>
              </w:rPr>
              <w:t>operational costs</w:t>
            </w:r>
            <w:r w:rsidR="00151E07" w:rsidRPr="005A0032">
              <w:rPr>
                <w:szCs w:val="20"/>
              </w:rPr>
              <w:t xml:space="preserve"> </w:t>
            </w:r>
            <w:r w:rsidR="00F43836" w:rsidRPr="005A0032">
              <w:rPr>
                <w:szCs w:val="20"/>
              </w:rPr>
              <w:t>(€24,000 personnel and travel + €6,000 lab consumables)</w:t>
            </w:r>
            <w:r w:rsidR="007724DD" w:rsidRPr="005A0032">
              <w:rPr>
                <w:szCs w:val="20"/>
              </w:rPr>
              <w:t xml:space="preserve">, referring </w:t>
            </w:r>
            <w:r w:rsidR="00F43836" w:rsidRPr="005A0032">
              <w:rPr>
                <w:szCs w:val="20"/>
              </w:rPr>
              <w:t>to six months development, 12 months sampling campaign and six months for analysis. The method requires the collection of water samples (1 to 10 L of water) from strategically placed sampling sites to search for the targeted species</w:t>
            </w:r>
            <w:r w:rsidR="007724DD" w:rsidRPr="005A0032">
              <w:rPr>
                <w:szCs w:val="20"/>
              </w:rPr>
              <w:t xml:space="preserve">”. However, the involvement of people </w:t>
            </w:r>
            <w:r w:rsidR="00060F15">
              <w:rPr>
                <w:szCs w:val="20"/>
              </w:rPr>
              <w:t>from</w:t>
            </w:r>
            <w:r w:rsidR="00060F15" w:rsidRPr="005A0032">
              <w:rPr>
                <w:szCs w:val="20"/>
              </w:rPr>
              <w:t xml:space="preserve"> </w:t>
            </w:r>
            <w:r w:rsidR="007724DD" w:rsidRPr="005A0032">
              <w:rPr>
                <w:szCs w:val="20"/>
              </w:rPr>
              <w:t xml:space="preserve">the network </w:t>
            </w:r>
            <w:r w:rsidR="00060F15">
              <w:rPr>
                <w:szCs w:val="20"/>
              </w:rPr>
              <w:t xml:space="preserve">mentioned above </w:t>
            </w:r>
            <w:r w:rsidR="007724DD" w:rsidRPr="005A0032">
              <w:rPr>
                <w:szCs w:val="20"/>
              </w:rPr>
              <w:t xml:space="preserve">could lower the </w:t>
            </w:r>
            <w:r w:rsidR="00DA30AB" w:rsidRPr="005A0032">
              <w:rPr>
                <w:szCs w:val="20"/>
              </w:rPr>
              <w:t>cost for travel to collect water sample</w:t>
            </w:r>
            <w:r w:rsidR="00060F15">
              <w:rPr>
                <w:szCs w:val="20"/>
              </w:rPr>
              <w:t>s</w:t>
            </w:r>
            <w:r w:rsidR="00DA30AB" w:rsidRPr="005A0032">
              <w:rPr>
                <w:szCs w:val="20"/>
              </w:rPr>
              <w:t xml:space="preserve">. </w:t>
            </w:r>
          </w:p>
          <w:p w14:paraId="0F35B23A" w14:textId="3E5236F2" w:rsidR="005A0032" w:rsidRPr="005A0032" w:rsidRDefault="005A0032" w:rsidP="00DA30AB">
            <w:pPr>
              <w:rPr>
                <w:szCs w:val="20"/>
              </w:rPr>
            </w:pPr>
          </w:p>
        </w:tc>
      </w:tr>
      <w:tr w:rsidR="00E65D9C" w:rsidRPr="002B6463" w14:paraId="74C0945D" w14:textId="77777777" w:rsidTr="00417F5A">
        <w:tc>
          <w:tcPr>
            <w:tcW w:w="3295" w:type="dxa"/>
            <w:shd w:val="clear" w:color="auto" w:fill="F2DBDB" w:themeFill="accent2" w:themeFillTint="33"/>
          </w:tcPr>
          <w:p w14:paraId="05236213" w14:textId="77777777" w:rsidR="00E65D9C" w:rsidRPr="0039672E" w:rsidRDefault="00E65D9C" w:rsidP="00417F5A">
            <w:pPr>
              <w:pStyle w:val="NoSpacing"/>
              <w:rPr>
                <w:b/>
              </w:rPr>
            </w:pPr>
            <w:r w:rsidRPr="0039672E">
              <w:rPr>
                <w:b/>
              </w:rPr>
              <w:t>Side effects (incl. potential)</w:t>
            </w:r>
            <w:r>
              <w:rPr>
                <w:b/>
              </w:rPr>
              <w:t xml:space="preserve"> – both positive and negative</w:t>
            </w:r>
          </w:p>
          <w:p w14:paraId="3976275A" w14:textId="77777777" w:rsidR="00E65D9C" w:rsidRDefault="00E65D9C" w:rsidP="00417F5A">
            <w:pPr>
              <w:pStyle w:val="NoSpacing"/>
              <w:rPr>
                <w:sz w:val="20"/>
              </w:rPr>
            </w:pPr>
            <w:proofErr w:type="gramStart"/>
            <w:r w:rsidRPr="00EA6987">
              <w:rPr>
                <w:sz w:val="20"/>
              </w:rPr>
              <w:lastRenderedPageBreak/>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04D0873C" w14:textId="77777777" w:rsidR="00E65D9C" w:rsidRDefault="00E65D9C" w:rsidP="00417F5A">
            <w:pPr>
              <w:pStyle w:val="NoSpacing"/>
              <w:rPr>
                <w:b/>
              </w:rPr>
            </w:pPr>
          </w:p>
          <w:p w14:paraId="4EE0AC9D" w14:textId="77777777" w:rsidR="00E65D9C" w:rsidRPr="0039672E" w:rsidRDefault="00E65D9C" w:rsidP="00417F5A">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E65D9C" w14:paraId="395B7812" w14:textId="77777777" w:rsidTr="00417F5A">
              <w:tc>
                <w:tcPr>
                  <w:tcW w:w="2116" w:type="dxa"/>
                </w:tcPr>
                <w:p w14:paraId="1C4AD622" w14:textId="77777777" w:rsidR="00E65D9C" w:rsidRPr="002E17F6" w:rsidRDefault="00E65D9C" w:rsidP="00417F5A">
                  <w:pPr>
                    <w:pStyle w:val="NoSpacing"/>
                    <w:rPr>
                      <w:b/>
                      <w:i/>
                      <w:sz w:val="20"/>
                    </w:rPr>
                  </w:pPr>
                  <w:r w:rsidRPr="002E17F6">
                    <w:rPr>
                      <w:b/>
                      <w:i/>
                      <w:sz w:val="20"/>
                    </w:rPr>
                    <w:lastRenderedPageBreak/>
                    <w:t>Environmental</w:t>
                  </w:r>
                  <w:r>
                    <w:rPr>
                      <w:b/>
                      <w:i/>
                      <w:sz w:val="20"/>
                    </w:rPr>
                    <w:t xml:space="preserve"> effects</w:t>
                  </w:r>
                </w:p>
              </w:tc>
              <w:tc>
                <w:tcPr>
                  <w:tcW w:w="1701" w:type="dxa"/>
                </w:tcPr>
                <w:p w14:paraId="7E059AAF" w14:textId="77777777" w:rsidR="00E65D9C" w:rsidRDefault="00E65D9C" w:rsidP="00417F5A">
                  <w:pPr>
                    <w:pStyle w:val="NoSpacing"/>
                    <w:jc w:val="right"/>
                    <w:rPr>
                      <w:i/>
                      <w:sz w:val="20"/>
                    </w:rPr>
                  </w:pPr>
                  <w:r>
                    <w:rPr>
                      <w:i/>
                      <w:sz w:val="20"/>
                    </w:rPr>
                    <w:t>Positive</w:t>
                  </w:r>
                </w:p>
              </w:tc>
              <w:tc>
                <w:tcPr>
                  <w:tcW w:w="425" w:type="dxa"/>
                  <w:shd w:val="clear" w:color="auto" w:fill="F2DBDB" w:themeFill="accent2" w:themeFillTint="33"/>
                </w:tcPr>
                <w:p w14:paraId="380C1E97" w14:textId="3DBD9001" w:rsidR="00E65D9C" w:rsidRDefault="00C02F4D" w:rsidP="00417F5A">
                  <w:pPr>
                    <w:pStyle w:val="NoSpacing"/>
                    <w:jc w:val="right"/>
                    <w:rPr>
                      <w:i/>
                      <w:sz w:val="20"/>
                    </w:rPr>
                  </w:pPr>
                  <w:r>
                    <w:rPr>
                      <w:i/>
                      <w:sz w:val="20"/>
                    </w:rPr>
                    <w:t>X</w:t>
                  </w:r>
                </w:p>
              </w:tc>
              <w:tc>
                <w:tcPr>
                  <w:tcW w:w="2268" w:type="dxa"/>
                </w:tcPr>
                <w:p w14:paraId="43FE59CD" w14:textId="77777777" w:rsidR="00E65D9C" w:rsidRDefault="00E65D9C" w:rsidP="00417F5A">
                  <w:pPr>
                    <w:pStyle w:val="NoSpacing"/>
                    <w:jc w:val="right"/>
                    <w:rPr>
                      <w:i/>
                      <w:sz w:val="20"/>
                    </w:rPr>
                  </w:pPr>
                  <w:r>
                    <w:rPr>
                      <w:i/>
                      <w:sz w:val="20"/>
                    </w:rPr>
                    <w:t>Neutral or mixed</w:t>
                  </w:r>
                </w:p>
              </w:tc>
              <w:tc>
                <w:tcPr>
                  <w:tcW w:w="425" w:type="dxa"/>
                  <w:shd w:val="clear" w:color="auto" w:fill="F2DBDB" w:themeFill="accent2" w:themeFillTint="33"/>
                </w:tcPr>
                <w:p w14:paraId="0FC7EA3D" w14:textId="0D603FFB" w:rsidR="00E65D9C" w:rsidRDefault="00E65D9C" w:rsidP="00417F5A">
                  <w:pPr>
                    <w:pStyle w:val="NoSpacing"/>
                    <w:jc w:val="right"/>
                    <w:rPr>
                      <w:i/>
                      <w:sz w:val="20"/>
                    </w:rPr>
                  </w:pPr>
                </w:p>
              </w:tc>
              <w:tc>
                <w:tcPr>
                  <w:tcW w:w="2002" w:type="dxa"/>
                </w:tcPr>
                <w:p w14:paraId="0371D4B2" w14:textId="77777777" w:rsidR="00E65D9C" w:rsidRDefault="00E65D9C" w:rsidP="00417F5A">
                  <w:pPr>
                    <w:pStyle w:val="NoSpacing"/>
                    <w:jc w:val="right"/>
                    <w:rPr>
                      <w:i/>
                      <w:sz w:val="20"/>
                    </w:rPr>
                  </w:pPr>
                  <w:r>
                    <w:rPr>
                      <w:i/>
                      <w:sz w:val="20"/>
                    </w:rPr>
                    <w:t>Negative</w:t>
                  </w:r>
                </w:p>
              </w:tc>
              <w:tc>
                <w:tcPr>
                  <w:tcW w:w="408" w:type="dxa"/>
                  <w:shd w:val="clear" w:color="auto" w:fill="F2DBDB" w:themeFill="accent2" w:themeFillTint="33"/>
                </w:tcPr>
                <w:p w14:paraId="40F95C6C" w14:textId="77777777" w:rsidR="00E65D9C" w:rsidRDefault="00E65D9C" w:rsidP="00417F5A">
                  <w:pPr>
                    <w:pStyle w:val="NoSpacing"/>
                    <w:rPr>
                      <w:i/>
                      <w:sz w:val="20"/>
                    </w:rPr>
                  </w:pPr>
                </w:p>
              </w:tc>
            </w:tr>
            <w:tr w:rsidR="00E65D9C" w14:paraId="7A765549" w14:textId="77777777" w:rsidTr="00417F5A">
              <w:tc>
                <w:tcPr>
                  <w:tcW w:w="2116" w:type="dxa"/>
                </w:tcPr>
                <w:p w14:paraId="051A2668" w14:textId="77777777" w:rsidR="00E65D9C" w:rsidRPr="002E17F6" w:rsidRDefault="00E65D9C" w:rsidP="00417F5A">
                  <w:pPr>
                    <w:pStyle w:val="NoSpacing"/>
                    <w:rPr>
                      <w:b/>
                      <w:i/>
                      <w:sz w:val="20"/>
                    </w:rPr>
                  </w:pPr>
                  <w:r w:rsidRPr="002E17F6">
                    <w:rPr>
                      <w:b/>
                      <w:i/>
                      <w:sz w:val="20"/>
                    </w:rPr>
                    <w:t>Social</w:t>
                  </w:r>
                  <w:r>
                    <w:rPr>
                      <w:b/>
                      <w:i/>
                      <w:sz w:val="20"/>
                    </w:rPr>
                    <w:t xml:space="preserve"> effects</w:t>
                  </w:r>
                </w:p>
              </w:tc>
              <w:tc>
                <w:tcPr>
                  <w:tcW w:w="1701" w:type="dxa"/>
                </w:tcPr>
                <w:p w14:paraId="57400B6B" w14:textId="77777777" w:rsidR="00E65D9C" w:rsidRDefault="00E65D9C" w:rsidP="00417F5A">
                  <w:pPr>
                    <w:pStyle w:val="NoSpacing"/>
                    <w:jc w:val="right"/>
                    <w:rPr>
                      <w:i/>
                      <w:sz w:val="20"/>
                    </w:rPr>
                  </w:pPr>
                  <w:r>
                    <w:rPr>
                      <w:i/>
                      <w:sz w:val="20"/>
                    </w:rPr>
                    <w:t>Positive</w:t>
                  </w:r>
                </w:p>
              </w:tc>
              <w:tc>
                <w:tcPr>
                  <w:tcW w:w="425" w:type="dxa"/>
                  <w:shd w:val="clear" w:color="auto" w:fill="F2DBDB" w:themeFill="accent2" w:themeFillTint="33"/>
                </w:tcPr>
                <w:p w14:paraId="4F02E515" w14:textId="77777777" w:rsidR="00E65D9C" w:rsidRDefault="00E65D9C" w:rsidP="00417F5A">
                  <w:pPr>
                    <w:pStyle w:val="NoSpacing"/>
                    <w:jc w:val="right"/>
                    <w:rPr>
                      <w:i/>
                      <w:sz w:val="20"/>
                    </w:rPr>
                  </w:pPr>
                </w:p>
              </w:tc>
              <w:tc>
                <w:tcPr>
                  <w:tcW w:w="2268" w:type="dxa"/>
                </w:tcPr>
                <w:p w14:paraId="3D1B2EF8" w14:textId="77777777" w:rsidR="00E65D9C" w:rsidRDefault="00E65D9C" w:rsidP="00417F5A">
                  <w:pPr>
                    <w:pStyle w:val="NoSpacing"/>
                    <w:jc w:val="right"/>
                    <w:rPr>
                      <w:i/>
                      <w:sz w:val="20"/>
                    </w:rPr>
                  </w:pPr>
                  <w:r>
                    <w:rPr>
                      <w:i/>
                      <w:sz w:val="20"/>
                    </w:rPr>
                    <w:t>Neutral or mixed</w:t>
                  </w:r>
                </w:p>
              </w:tc>
              <w:tc>
                <w:tcPr>
                  <w:tcW w:w="425" w:type="dxa"/>
                  <w:shd w:val="clear" w:color="auto" w:fill="F2DBDB" w:themeFill="accent2" w:themeFillTint="33"/>
                </w:tcPr>
                <w:p w14:paraId="56E5BFDA" w14:textId="3E6D806C" w:rsidR="00E65D9C" w:rsidRDefault="00D37CA0" w:rsidP="00417F5A">
                  <w:pPr>
                    <w:pStyle w:val="NoSpacing"/>
                    <w:jc w:val="right"/>
                    <w:rPr>
                      <w:i/>
                      <w:sz w:val="20"/>
                    </w:rPr>
                  </w:pPr>
                  <w:r>
                    <w:rPr>
                      <w:i/>
                      <w:sz w:val="20"/>
                    </w:rPr>
                    <w:t>X</w:t>
                  </w:r>
                </w:p>
              </w:tc>
              <w:tc>
                <w:tcPr>
                  <w:tcW w:w="2002" w:type="dxa"/>
                </w:tcPr>
                <w:p w14:paraId="46FDED47" w14:textId="77777777" w:rsidR="00E65D9C" w:rsidRDefault="00E65D9C" w:rsidP="00417F5A">
                  <w:pPr>
                    <w:pStyle w:val="NoSpacing"/>
                    <w:jc w:val="right"/>
                    <w:rPr>
                      <w:i/>
                      <w:sz w:val="20"/>
                    </w:rPr>
                  </w:pPr>
                  <w:r>
                    <w:rPr>
                      <w:i/>
                      <w:sz w:val="20"/>
                    </w:rPr>
                    <w:t>Negative</w:t>
                  </w:r>
                </w:p>
              </w:tc>
              <w:tc>
                <w:tcPr>
                  <w:tcW w:w="408" w:type="dxa"/>
                  <w:shd w:val="clear" w:color="auto" w:fill="F2DBDB" w:themeFill="accent2" w:themeFillTint="33"/>
                </w:tcPr>
                <w:p w14:paraId="1684A9E4" w14:textId="77777777" w:rsidR="00E65D9C" w:rsidRDefault="00E65D9C" w:rsidP="00417F5A">
                  <w:pPr>
                    <w:pStyle w:val="NoSpacing"/>
                    <w:rPr>
                      <w:i/>
                      <w:sz w:val="20"/>
                    </w:rPr>
                  </w:pPr>
                </w:p>
              </w:tc>
            </w:tr>
            <w:tr w:rsidR="00E65D9C" w14:paraId="6DD58701" w14:textId="77777777" w:rsidTr="00417F5A">
              <w:tc>
                <w:tcPr>
                  <w:tcW w:w="2116" w:type="dxa"/>
                </w:tcPr>
                <w:p w14:paraId="28B2B9F9" w14:textId="77777777" w:rsidR="00E65D9C" w:rsidRPr="002E17F6" w:rsidRDefault="00E65D9C" w:rsidP="00417F5A">
                  <w:pPr>
                    <w:pStyle w:val="NoSpacing"/>
                    <w:rPr>
                      <w:b/>
                      <w:i/>
                      <w:sz w:val="20"/>
                    </w:rPr>
                  </w:pPr>
                  <w:r w:rsidRPr="002E17F6">
                    <w:rPr>
                      <w:b/>
                      <w:i/>
                      <w:sz w:val="20"/>
                    </w:rPr>
                    <w:t>Economic</w:t>
                  </w:r>
                  <w:r>
                    <w:rPr>
                      <w:b/>
                      <w:i/>
                      <w:sz w:val="20"/>
                    </w:rPr>
                    <w:t xml:space="preserve"> effects</w:t>
                  </w:r>
                </w:p>
              </w:tc>
              <w:tc>
                <w:tcPr>
                  <w:tcW w:w="1701" w:type="dxa"/>
                </w:tcPr>
                <w:p w14:paraId="6B954106" w14:textId="77777777" w:rsidR="00E65D9C" w:rsidRDefault="00E65D9C" w:rsidP="00417F5A">
                  <w:pPr>
                    <w:pStyle w:val="NoSpacing"/>
                    <w:jc w:val="right"/>
                    <w:rPr>
                      <w:i/>
                      <w:sz w:val="20"/>
                    </w:rPr>
                  </w:pPr>
                  <w:r>
                    <w:rPr>
                      <w:i/>
                      <w:sz w:val="20"/>
                    </w:rPr>
                    <w:t>Positive</w:t>
                  </w:r>
                </w:p>
              </w:tc>
              <w:tc>
                <w:tcPr>
                  <w:tcW w:w="425" w:type="dxa"/>
                  <w:shd w:val="clear" w:color="auto" w:fill="F2DBDB" w:themeFill="accent2" w:themeFillTint="33"/>
                </w:tcPr>
                <w:p w14:paraId="57EC6C87" w14:textId="77777777" w:rsidR="00E65D9C" w:rsidRDefault="00E65D9C" w:rsidP="00417F5A">
                  <w:pPr>
                    <w:pStyle w:val="NoSpacing"/>
                    <w:jc w:val="right"/>
                    <w:rPr>
                      <w:i/>
                      <w:sz w:val="20"/>
                    </w:rPr>
                  </w:pPr>
                </w:p>
              </w:tc>
              <w:tc>
                <w:tcPr>
                  <w:tcW w:w="2268" w:type="dxa"/>
                </w:tcPr>
                <w:p w14:paraId="240C5FDF" w14:textId="77777777" w:rsidR="00E65D9C" w:rsidRDefault="00E65D9C" w:rsidP="00417F5A">
                  <w:pPr>
                    <w:pStyle w:val="NoSpacing"/>
                    <w:jc w:val="right"/>
                    <w:rPr>
                      <w:i/>
                      <w:sz w:val="20"/>
                    </w:rPr>
                  </w:pPr>
                  <w:r>
                    <w:rPr>
                      <w:i/>
                      <w:sz w:val="20"/>
                    </w:rPr>
                    <w:t>Neutral or mixed</w:t>
                  </w:r>
                </w:p>
              </w:tc>
              <w:tc>
                <w:tcPr>
                  <w:tcW w:w="425" w:type="dxa"/>
                  <w:shd w:val="clear" w:color="auto" w:fill="F2DBDB" w:themeFill="accent2" w:themeFillTint="33"/>
                </w:tcPr>
                <w:p w14:paraId="09C6A5E9" w14:textId="09E4748C" w:rsidR="00E65D9C" w:rsidRDefault="00D37CA0" w:rsidP="00417F5A">
                  <w:pPr>
                    <w:pStyle w:val="NoSpacing"/>
                    <w:jc w:val="right"/>
                    <w:rPr>
                      <w:i/>
                      <w:sz w:val="20"/>
                    </w:rPr>
                  </w:pPr>
                  <w:r>
                    <w:rPr>
                      <w:i/>
                      <w:sz w:val="20"/>
                    </w:rPr>
                    <w:t>X</w:t>
                  </w:r>
                </w:p>
              </w:tc>
              <w:tc>
                <w:tcPr>
                  <w:tcW w:w="2002" w:type="dxa"/>
                </w:tcPr>
                <w:p w14:paraId="24D7A274" w14:textId="77777777" w:rsidR="00E65D9C" w:rsidRDefault="00E65D9C" w:rsidP="00417F5A">
                  <w:pPr>
                    <w:pStyle w:val="NoSpacing"/>
                    <w:jc w:val="right"/>
                    <w:rPr>
                      <w:i/>
                      <w:sz w:val="20"/>
                    </w:rPr>
                  </w:pPr>
                  <w:r>
                    <w:rPr>
                      <w:i/>
                      <w:sz w:val="20"/>
                    </w:rPr>
                    <w:t>Negative</w:t>
                  </w:r>
                </w:p>
              </w:tc>
              <w:tc>
                <w:tcPr>
                  <w:tcW w:w="408" w:type="dxa"/>
                  <w:shd w:val="clear" w:color="auto" w:fill="F2DBDB" w:themeFill="accent2" w:themeFillTint="33"/>
                </w:tcPr>
                <w:p w14:paraId="7F800890" w14:textId="77777777" w:rsidR="00E65D9C" w:rsidRDefault="00E65D9C" w:rsidP="00417F5A">
                  <w:pPr>
                    <w:pStyle w:val="NoSpacing"/>
                    <w:rPr>
                      <w:i/>
                      <w:sz w:val="20"/>
                    </w:rPr>
                  </w:pPr>
                </w:p>
              </w:tc>
            </w:tr>
          </w:tbl>
          <w:p w14:paraId="33A91398" w14:textId="77777777" w:rsidR="00E65D9C" w:rsidRDefault="00E65D9C" w:rsidP="00417F5A">
            <w:pPr>
              <w:pStyle w:val="NoSpacing"/>
              <w:rPr>
                <w:i/>
                <w:sz w:val="20"/>
              </w:rPr>
            </w:pPr>
          </w:p>
          <w:p w14:paraId="78618D26" w14:textId="77777777" w:rsidR="00E65D9C" w:rsidRDefault="00E65D9C" w:rsidP="00417F5A">
            <w:pPr>
              <w:pStyle w:val="NoSpacing"/>
              <w:rPr>
                <w:sz w:val="20"/>
              </w:rPr>
            </w:pPr>
            <w:r w:rsidRPr="00C856F5">
              <w:rPr>
                <w:i/>
                <w:sz w:val="20"/>
              </w:rPr>
              <w:t>Rationale</w:t>
            </w:r>
            <w:r>
              <w:rPr>
                <w:sz w:val="20"/>
              </w:rPr>
              <w:t>:</w:t>
            </w:r>
          </w:p>
          <w:p w14:paraId="5170F054" w14:textId="4AB1C047" w:rsidR="00E65D9C" w:rsidRPr="002B6463" w:rsidRDefault="00D37CA0" w:rsidP="00C02F4D">
            <w:pPr>
              <w:pStyle w:val="NoSpacing"/>
              <w:rPr>
                <w:sz w:val="20"/>
              </w:rPr>
            </w:pPr>
            <w:r w:rsidRPr="005A0032">
              <w:t xml:space="preserve">No negative </w:t>
            </w:r>
            <w:r w:rsidR="00C02F4D">
              <w:t xml:space="preserve">side </w:t>
            </w:r>
            <w:r w:rsidRPr="005A0032">
              <w:t>effects on biodiversity or human health</w:t>
            </w:r>
            <w:r w:rsidR="00C02F4D">
              <w:t xml:space="preserve"> are expected</w:t>
            </w:r>
            <w:r w:rsidRPr="005A0032">
              <w:t xml:space="preserve">. </w:t>
            </w:r>
            <w:r w:rsidR="004161BA" w:rsidRPr="005A0032">
              <w:t xml:space="preserve">As </w:t>
            </w:r>
            <w:r w:rsidR="00C02F4D">
              <w:t xml:space="preserve">a </w:t>
            </w:r>
            <w:r w:rsidR="004161BA" w:rsidRPr="005A0032">
              <w:t>positive effect, t</w:t>
            </w:r>
            <w:r w:rsidRPr="005A0032">
              <w:t xml:space="preserve">his method could </w:t>
            </w:r>
            <w:r w:rsidR="008175CF" w:rsidRPr="005A0032">
              <w:t xml:space="preserve">allow to detect other </w:t>
            </w:r>
            <w:r w:rsidR="00C02F4D">
              <w:t xml:space="preserve">aquatic </w:t>
            </w:r>
            <w:r w:rsidR="008175CF" w:rsidRPr="005A0032">
              <w:t xml:space="preserve">invasive species or </w:t>
            </w:r>
            <w:r w:rsidR="00C02F4D" w:rsidRPr="005A0032">
              <w:t xml:space="preserve">rare </w:t>
            </w:r>
            <w:r w:rsidR="008175CF" w:rsidRPr="005A0032">
              <w:t>native species.</w:t>
            </w:r>
          </w:p>
        </w:tc>
      </w:tr>
      <w:tr w:rsidR="00E65D9C" w:rsidRPr="00C75EDD" w14:paraId="6F7DB70E" w14:textId="77777777" w:rsidTr="00417F5A">
        <w:tc>
          <w:tcPr>
            <w:tcW w:w="3295" w:type="dxa"/>
            <w:shd w:val="clear" w:color="auto" w:fill="F2DBDB" w:themeFill="accent2" w:themeFillTint="33"/>
          </w:tcPr>
          <w:p w14:paraId="1B08A96D" w14:textId="77777777" w:rsidR="00E65D9C" w:rsidRPr="0039672E" w:rsidRDefault="00E65D9C" w:rsidP="00417F5A">
            <w:pPr>
              <w:pStyle w:val="NoSpacing"/>
              <w:rPr>
                <w:b/>
              </w:rPr>
            </w:pPr>
            <w:r w:rsidRPr="0039672E">
              <w:rPr>
                <w:b/>
              </w:rPr>
              <w:lastRenderedPageBreak/>
              <w:t>Acceptability to stakeholders</w:t>
            </w:r>
          </w:p>
          <w:p w14:paraId="365874F8" w14:textId="77777777" w:rsidR="00E65D9C" w:rsidRDefault="00E65D9C" w:rsidP="00417F5A">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7A8C14AC" w14:textId="77777777" w:rsidR="00E65D9C" w:rsidRDefault="00E65D9C" w:rsidP="00417F5A">
            <w:pPr>
              <w:pStyle w:val="NoSpacing"/>
              <w:rPr>
                <w:sz w:val="20"/>
              </w:rPr>
            </w:pPr>
          </w:p>
          <w:p w14:paraId="6B020EBB" w14:textId="77777777" w:rsidR="00E65D9C" w:rsidRPr="002B6463" w:rsidRDefault="00E65D9C" w:rsidP="00417F5A">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E65D9C" w14:paraId="6444E345" w14:textId="77777777" w:rsidTr="00417F5A">
              <w:tc>
                <w:tcPr>
                  <w:tcW w:w="2116" w:type="dxa"/>
                </w:tcPr>
                <w:p w14:paraId="48FC0CB3" w14:textId="77777777" w:rsidR="00E65D9C" w:rsidRPr="002E17F6" w:rsidRDefault="00E65D9C" w:rsidP="00417F5A">
                  <w:pPr>
                    <w:pStyle w:val="NoSpacing"/>
                    <w:rPr>
                      <w:b/>
                      <w:i/>
                      <w:sz w:val="20"/>
                    </w:rPr>
                  </w:pPr>
                  <w:r w:rsidRPr="002E17F6">
                    <w:rPr>
                      <w:b/>
                      <w:i/>
                      <w:sz w:val="20"/>
                    </w:rPr>
                    <w:t>Acceptability to stakeholders</w:t>
                  </w:r>
                </w:p>
              </w:tc>
              <w:tc>
                <w:tcPr>
                  <w:tcW w:w="1701" w:type="dxa"/>
                </w:tcPr>
                <w:p w14:paraId="0880171B" w14:textId="77777777" w:rsidR="00E65D9C" w:rsidRDefault="00E65D9C" w:rsidP="00417F5A">
                  <w:pPr>
                    <w:pStyle w:val="NoSpacing"/>
                    <w:jc w:val="right"/>
                    <w:rPr>
                      <w:i/>
                      <w:sz w:val="20"/>
                    </w:rPr>
                  </w:pPr>
                  <w:r>
                    <w:rPr>
                      <w:i/>
                      <w:sz w:val="20"/>
                    </w:rPr>
                    <w:t>Acceptable</w:t>
                  </w:r>
                </w:p>
              </w:tc>
              <w:tc>
                <w:tcPr>
                  <w:tcW w:w="425" w:type="dxa"/>
                  <w:shd w:val="clear" w:color="auto" w:fill="F2DBDB" w:themeFill="accent2" w:themeFillTint="33"/>
                </w:tcPr>
                <w:p w14:paraId="350325C0" w14:textId="6DC01E37" w:rsidR="00E65D9C" w:rsidRDefault="00E704E8" w:rsidP="00417F5A">
                  <w:pPr>
                    <w:pStyle w:val="NoSpacing"/>
                    <w:jc w:val="right"/>
                    <w:rPr>
                      <w:i/>
                      <w:sz w:val="20"/>
                    </w:rPr>
                  </w:pPr>
                  <w:r>
                    <w:rPr>
                      <w:i/>
                      <w:sz w:val="20"/>
                    </w:rPr>
                    <w:t>X</w:t>
                  </w:r>
                </w:p>
              </w:tc>
              <w:tc>
                <w:tcPr>
                  <w:tcW w:w="2268" w:type="dxa"/>
                </w:tcPr>
                <w:p w14:paraId="54CC0067" w14:textId="77777777" w:rsidR="00E65D9C" w:rsidRDefault="00E65D9C" w:rsidP="00417F5A">
                  <w:pPr>
                    <w:pStyle w:val="NoSpacing"/>
                    <w:jc w:val="right"/>
                    <w:rPr>
                      <w:i/>
                      <w:sz w:val="20"/>
                    </w:rPr>
                  </w:pPr>
                  <w:r>
                    <w:rPr>
                      <w:i/>
                      <w:sz w:val="20"/>
                    </w:rPr>
                    <w:t>Neutral or mixed</w:t>
                  </w:r>
                </w:p>
              </w:tc>
              <w:tc>
                <w:tcPr>
                  <w:tcW w:w="425" w:type="dxa"/>
                  <w:shd w:val="clear" w:color="auto" w:fill="F2DBDB" w:themeFill="accent2" w:themeFillTint="33"/>
                </w:tcPr>
                <w:p w14:paraId="31385E77" w14:textId="77777777" w:rsidR="00E65D9C" w:rsidRDefault="00E65D9C" w:rsidP="00417F5A">
                  <w:pPr>
                    <w:pStyle w:val="NoSpacing"/>
                    <w:jc w:val="right"/>
                    <w:rPr>
                      <w:i/>
                      <w:sz w:val="20"/>
                    </w:rPr>
                  </w:pPr>
                </w:p>
              </w:tc>
              <w:tc>
                <w:tcPr>
                  <w:tcW w:w="2002" w:type="dxa"/>
                </w:tcPr>
                <w:p w14:paraId="5A8CB60C" w14:textId="77777777" w:rsidR="00E65D9C" w:rsidRDefault="00E65D9C" w:rsidP="00417F5A">
                  <w:pPr>
                    <w:pStyle w:val="NoSpacing"/>
                    <w:jc w:val="right"/>
                    <w:rPr>
                      <w:i/>
                      <w:sz w:val="20"/>
                    </w:rPr>
                  </w:pPr>
                  <w:r>
                    <w:rPr>
                      <w:i/>
                      <w:sz w:val="20"/>
                    </w:rPr>
                    <w:t>Unacceptable</w:t>
                  </w:r>
                </w:p>
              </w:tc>
              <w:tc>
                <w:tcPr>
                  <w:tcW w:w="408" w:type="dxa"/>
                  <w:shd w:val="clear" w:color="auto" w:fill="F2DBDB" w:themeFill="accent2" w:themeFillTint="33"/>
                </w:tcPr>
                <w:p w14:paraId="6330DAC0" w14:textId="77777777" w:rsidR="00E65D9C" w:rsidRDefault="00E65D9C" w:rsidP="00417F5A">
                  <w:pPr>
                    <w:pStyle w:val="NoSpacing"/>
                    <w:rPr>
                      <w:i/>
                      <w:sz w:val="20"/>
                    </w:rPr>
                  </w:pPr>
                </w:p>
              </w:tc>
            </w:tr>
          </w:tbl>
          <w:p w14:paraId="41CFC102" w14:textId="77777777" w:rsidR="00E65D9C" w:rsidRDefault="00E65D9C" w:rsidP="00417F5A">
            <w:pPr>
              <w:pStyle w:val="NoSpacing"/>
              <w:rPr>
                <w:i/>
                <w:sz w:val="20"/>
              </w:rPr>
            </w:pPr>
          </w:p>
          <w:p w14:paraId="5A2C35A1" w14:textId="77777777" w:rsidR="00E65D9C" w:rsidRDefault="00E65D9C" w:rsidP="00417F5A">
            <w:pPr>
              <w:pStyle w:val="NoSpacing"/>
              <w:rPr>
                <w:sz w:val="20"/>
              </w:rPr>
            </w:pPr>
            <w:r w:rsidRPr="00C856F5">
              <w:rPr>
                <w:i/>
                <w:sz w:val="20"/>
              </w:rPr>
              <w:t>Rationale</w:t>
            </w:r>
            <w:r>
              <w:rPr>
                <w:sz w:val="20"/>
              </w:rPr>
              <w:t>:</w:t>
            </w:r>
          </w:p>
          <w:p w14:paraId="6D123B66" w14:textId="34925B2A" w:rsidR="00E65D9C" w:rsidRPr="00C75EDD" w:rsidRDefault="00E704E8" w:rsidP="00417F5A">
            <w:pPr>
              <w:pStyle w:val="NoSpacing"/>
              <w:rPr>
                <w:sz w:val="20"/>
              </w:rPr>
            </w:pPr>
            <w:r w:rsidRPr="005A0032">
              <w:t xml:space="preserve">The measure does not encounter any resistance.  </w:t>
            </w:r>
          </w:p>
        </w:tc>
      </w:tr>
      <w:tr w:rsidR="00E65D9C" w14:paraId="13B9A8CF" w14:textId="77777777" w:rsidTr="00417F5A">
        <w:tc>
          <w:tcPr>
            <w:tcW w:w="3295" w:type="dxa"/>
            <w:shd w:val="clear" w:color="auto" w:fill="F2DBDB" w:themeFill="accent2" w:themeFillTint="33"/>
          </w:tcPr>
          <w:p w14:paraId="44E48FCB" w14:textId="77777777" w:rsidR="00E65D9C" w:rsidRPr="0039672E" w:rsidRDefault="00E65D9C" w:rsidP="00417F5A">
            <w:pPr>
              <w:pStyle w:val="NoSpacing"/>
              <w:rPr>
                <w:b/>
              </w:rPr>
            </w:pPr>
            <w:r w:rsidRPr="0039672E">
              <w:rPr>
                <w:b/>
              </w:rPr>
              <w:t>Additional cost information</w:t>
            </w:r>
            <w:r>
              <w:rPr>
                <w:b/>
              </w:rPr>
              <w:t xml:space="preserve"> </w:t>
            </w:r>
            <w:r>
              <w:rPr>
                <w:b/>
                <w:vertAlign w:val="superscript"/>
              </w:rPr>
              <w:t>1</w:t>
            </w:r>
          </w:p>
          <w:p w14:paraId="0F6D3464" w14:textId="77777777" w:rsidR="00E65D9C" w:rsidRDefault="00E65D9C" w:rsidP="00417F5A">
            <w:pPr>
              <w:rPr>
                <w:sz w:val="20"/>
              </w:rPr>
            </w:pPr>
            <w:r>
              <w:rPr>
                <w:sz w:val="20"/>
              </w:rPr>
              <w:t xml:space="preserve">When not already included above, or in the species Risk Assessment. </w:t>
            </w:r>
          </w:p>
          <w:p w14:paraId="6B7FAB67" w14:textId="77777777" w:rsidR="00E65D9C" w:rsidRPr="00E662A4" w:rsidRDefault="00E65D9C" w:rsidP="00417F5A">
            <w:pPr>
              <w:rPr>
                <w:sz w:val="20"/>
              </w:rPr>
            </w:pPr>
            <w:r>
              <w:rPr>
                <w:sz w:val="20"/>
              </w:rPr>
              <w:t xml:space="preserve">- </w:t>
            </w:r>
            <w:r w:rsidRPr="00E662A4">
              <w:rPr>
                <w:sz w:val="20"/>
              </w:rPr>
              <w:t>implementation cost for Member States</w:t>
            </w:r>
          </w:p>
          <w:p w14:paraId="1BDF8EC6" w14:textId="77777777" w:rsidR="00E65D9C" w:rsidRPr="00E662A4" w:rsidRDefault="00E65D9C" w:rsidP="00417F5A">
            <w:pPr>
              <w:rPr>
                <w:sz w:val="20"/>
              </w:rPr>
            </w:pPr>
            <w:r>
              <w:rPr>
                <w:sz w:val="20"/>
              </w:rPr>
              <w:t xml:space="preserve">- </w:t>
            </w:r>
            <w:r w:rsidRPr="00E662A4">
              <w:rPr>
                <w:sz w:val="20"/>
              </w:rPr>
              <w:t>the cost of inaction</w:t>
            </w:r>
          </w:p>
          <w:p w14:paraId="6A74FB3F" w14:textId="77777777" w:rsidR="00E65D9C" w:rsidRPr="00E662A4" w:rsidRDefault="00E65D9C" w:rsidP="00417F5A">
            <w:pPr>
              <w:rPr>
                <w:sz w:val="20"/>
              </w:rPr>
            </w:pPr>
            <w:r>
              <w:rPr>
                <w:sz w:val="20"/>
              </w:rPr>
              <w:t xml:space="preserve">- </w:t>
            </w:r>
            <w:r w:rsidRPr="00E662A4">
              <w:rPr>
                <w:sz w:val="20"/>
              </w:rPr>
              <w:t>the cost-effectiveness</w:t>
            </w:r>
          </w:p>
          <w:p w14:paraId="24D79E5E" w14:textId="77777777" w:rsidR="00E65D9C" w:rsidRDefault="00E65D9C" w:rsidP="00417F5A">
            <w:pPr>
              <w:pStyle w:val="NoSpacing"/>
              <w:rPr>
                <w:sz w:val="20"/>
              </w:rPr>
            </w:pPr>
            <w:r>
              <w:rPr>
                <w:sz w:val="20"/>
              </w:rPr>
              <w:t xml:space="preserve">- </w:t>
            </w:r>
            <w:r w:rsidRPr="00E662A4">
              <w:rPr>
                <w:sz w:val="20"/>
              </w:rPr>
              <w:t>the socio-economic aspects</w:t>
            </w:r>
          </w:p>
          <w:p w14:paraId="7EE34700" w14:textId="77777777" w:rsidR="00E65D9C" w:rsidRDefault="00E65D9C" w:rsidP="00417F5A">
            <w:pPr>
              <w:pStyle w:val="NoSpacing"/>
              <w:rPr>
                <w:sz w:val="20"/>
              </w:rPr>
            </w:pPr>
          </w:p>
          <w:p w14:paraId="7027B672" w14:textId="77777777" w:rsidR="00E65D9C" w:rsidRPr="002B6463" w:rsidRDefault="00E65D9C" w:rsidP="00417F5A">
            <w:pPr>
              <w:pStyle w:val="NoSpacing"/>
              <w:rPr>
                <w:sz w:val="20"/>
              </w:rPr>
            </w:pPr>
            <w:r>
              <w:rPr>
                <w:sz w:val="20"/>
              </w:rPr>
              <w:t>Include quantitative &amp;/or qualitative data, and case studies (incl. from countries outside the EU).</w:t>
            </w:r>
          </w:p>
        </w:tc>
        <w:tc>
          <w:tcPr>
            <w:tcW w:w="10653" w:type="dxa"/>
          </w:tcPr>
          <w:p w14:paraId="3E8F1F89" w14:textId="04BD7576" w:rsidR="00E65D9C" w:rsidRDefault="003643EE" w:rsidP="001A5E91">
            <w:pPr>
              <w:pStyle w:val="NoSpacing"/>
              <w:rPr>
                <w:sz w:val="20"/>
              </w:rPr>
            </w:pPr>
            <w:r w:rsidRPr="005A0032">
              <w:t xml:space="preserve">The costs depend on </w:t>
            </w:r>
            <w:r w:rsidR="001A5E91">
              <w:t xml:space="preserve">the </w:t>
            </w:r>
            <w:r w:rsidRPr="005A0032">
              <w:t xml:space="preserve">number of samples collected per Member State. </w:t>
            </w:r>
            <w:r w:rsidR="00744210" w:rsidRPr="005A0032">
              <w:t>Early detection is crucial for aquatic species</w:t>
            </w:r>
            <w:r w:rsidR="001A5E91">
              <w:t>,</w:t>
            </w:r>
            <w:r w:rsidR="00744210" w:rsidRPr="005A0032">
              <w:t xml:space="preserve"> and eDNA is becoming more useful in detecting </w:t>
            </w:r>
            <w:r w:rsidR="00A21346" w:rsidRPr="005A0032">
              <w:t>low abundant alien species, usually less detected by traditional methods</w:t>
            </w:r>
            <w:r w:rsidR="001A5E91">
              <w:t>,</w:t>
            </w:r>
            <w:r w:rsidR="00A21346" w:rsidRPr="005A0032">
              <w:t xml:space="preserve"> </w:t>
            </w:r>
            <w:r w:rsidR="001A5E91">
              <w:t>t</w:t>
            </w:r>
            <w:r w:rsidR="000A540D" w:rsidRPr="005A0032">
              <w:t xml:space="preserve">hus </w:t>
            </w:r>
            <w:r w:rsidR="001A5E91">
              <w:t xml:space="preserve">making </w:t>
            </w:r>
            <w:r w:rsidR="000A540D" w:rsidRPr="005A0032">
              <w:t>the cost of inaction high.</w:t>
            </w:r>
          </w:p>
        </w:tc>
      </w:tr>
      <w:tr w:rsidR="00E65D9C" w:rsidRPr="002B6463" w14:paraId="23817B58" w14:textId="77777777" w:rsidTr="00417F5A">
        <w:tc>
          <w:tcPr>
            <w:tcW w:w="3295" w:type="dxa"/>
            <w:tcBorders>
              <w:bottom w:val="single" w:sz="4" w:space="0" w:color="auto"/>
            </w:tcBorders>
            <w:shd w:val="clear" w:color="auto" w:fill="F2DBDB" w:themeFill="accent2" w:themeFillTint="33"/>
          </w:tcPr>
          <w:p w14:paraId="548DBF1A" w14:textId="77777777" w:rsidR="00E65D9C" w:rsidRDefault="00E65D9C" w:rsidP="00417F5A">
            <w:pPr>
              <w:pStyle w:val="NoSpacing"/>
              <w:rPr>
                <w:b/>
              </w:rPr>
            </w:pPr>
            <w:r w:rsidRPr="002B6463">
              <w:rPr>
                <w:b/>
              </w:rPr>
              <w:t>Level of confidence</w:t>
            </w:r>
            <w:r>
              <w:rPr>
                <w:b/>
              </w:rPr>
              <w:t xml:space="preserve"> on the information provided </w:t>
            </w:r>
            <w:r>
              <w:rPr>
                <w:b/>
                <w:vertAlign w:val="superscript"/>
              </w:rPr>
              <w:t>2</w:t>
            </w:r>
          </w:p>
          <w:p w14:paraId="5CE9213C" w14:textId="77777777" w:rsidR="00E65D9C" w:rsidRDefault="00E65D9C" w:rsidP="00417F5A">
            <w:pPr>
              <w:pStyle w:val="NoSpacing"/>
              <w:rPr>
                <w:rFonts w:eastAsia="Times New Roman" w:cstheme="minorHAnsi"/>
                <w:b/>
                <w:sz w:val="20"/>
                <w:szCs w:val="20"/>
              </w:rPr>
            </w:pPr>
          </w:p>
          <w:p w14:paraId="76ACDE00" w14:textId="77777777" w:rsidR="00E65D9C" w:rsidRPr="00DE32F5" w:rsidRDefault="00E65D9C" w:rsidP="00417F5A">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lastRenderedPageBreak/>
              <w:t>Notes</w:t>
            </w:r>
            <w:r>
              <w:rPr>
                <w:sz w:val="20"/>
              </w:rPr>
              <w:t xml:space="preserve"> section at the bottom of this document.</w:t>
            </w:r>
          </w:p>
          <w:p w14:paraId="60CD92B8" w14:textId="77777777" w:rsidR="00E65D9C" w:rsidRDefault="00E65D9C" w:rsidP="00417F5A">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E65D9C" w14:paraId="1CE0E68A" w14:textId="77777777" w:rsidTr="00417F5A">
              <w:tc>
                <w:tcPr>
                  <w:tcW w:w="2024" w:type="dxa"/>
                </w:tcPr>
                <w:p w14:paraId="49828C43" w14:textId="77777777" w:rsidR="00E65D9C" w:rsidRPr="007C64EE" w:rsidRDefault="00E65D9C" w:rsidP="00417F5A">
                  <w:pPr>
                    <w:pStyle w:val="NoSpacing"/>
                    <w:rPr>
                      <w:i/>
                      <w:sz w:val="20"/>
                    </w:rPr>
                  </w:pPr>
                  <w:r>
                    <w:rPr>
                      <w:i/>
                      <w:sz w:val="20"/>
                    </w:rPr>
                    <w:lastRenderedPageBreak/>
                    <w:t>Inconclusive</w:t>
                  </w:r>
                </w:p>
              </w:tc>
              <w:tc>
                <w:tcPr>
                  <w:tcW w:w="375" w:type="dxa"/>
                  <w:shd w:val="clear" w:color="auto" w:fill="F2DBDB" w:themeFill="accent2" w:themeFillTint="33"/>
                </w:tcPr>
                <w:p w14:paraId="304BC400" w14:textId="77777777" w:rsidR="00E65D9C" w:rsidRDefault="00E65D9C" w:rsidP="00417F5A">
                  <w:pPr>
                    <w:pStyle w:val="NoSpacing"/>
                    <w:jc w:val="right"/>
                    <w:rPr>
                      <w:i/>
                      <w:sz w:val="20"/>
                    </w:rPr>
                  </w:pPr>
                </w:p>
              </w:tc>
              <w:tc>
                <w:tcPr>
                  <w:tcW w:w="1559" w:type="dxa"/>
                </w:tcPr>
                <w:p w14:paraId="65AB0FC9" w14:textId="77777777" w:rsidR="00E65D9C" w:rsidRDefault="00E65D9C" w:rsidP="00417F5A">
                  <w:pPr>
                    <w:pStyle w:val="NoSpacing"/>
                    <w:jc w:val="right"/>
                    <w:rPr>
                      <w:i/>
                      <w:sz w:val="20"/>
                    </w:rPr>
                  </w:pPr>
                  <w:r>
                    <w:rPr>
                      <w:i/>
                      <w:sz w:val="20"/>
                    </w:rPr>
                    <w:t>Unresolved</w:t>
                  </w:r>
                </w:p>
              </w:tc>
              <w:tc>
                <w:tcPr>
                  <w:tcW w:w="426" w:type="dxa"/>
                  <w:shd w:val="clear" w:color="auto" w:fill="F2DBDB" w:themeFill="accent2" w:themeFillTint="33"/>
                </w:tcPr>
                <w:p w14:paraId="6E897F6A" w14:textId="77777777" w:rsidR="00E65D9C" w:rsidRDefault="00E65D9C" w:rsidP="00417F5A">
                  <w:pPr>
                    <w:pStyle w:val="NoSpacing"/>
                    <w:jc w:val="right"/>
                    <w:rPr>
                      <w:i/>
                      <w:sz w:val="20"/>
                    </w:rPr>
                  </w:pPr>
                </w:p>
              </w:tc>
              <w:tc>
                <w:tcPr>
                  <w:tcW w:w="2126" w:type="dxa"/>
                </w:tcPr>
                <w:p w14:paraId="2BE9E6D7" w14:textId="77777777" w:rsidR="00E65D9C" w:rsidRDefault="00E65D9C" w:rsidP="00417F5A">
                  <w:pPr>
                    <w:pStyle w:val="NoSpacing"/>
                    <w:jc w:val="right"/>
                    <w:rPr>
                      <w:i/>
                      <w:sz w:val="20"/>
                    </w:rPr>
                  </w:pPr>
                  <w:r>
                    <w:rPr>
                      <w:i/>
                      <w:sz w:val="20"/>
                    </w:rPr>
                    <w:t>Established but incomplete</w:t>
                  </w:r>
                </w:p>
              </w:tc>
              <w:tc>
                <w:tcPr>
                  <w:tcW w:w="425" w:type="dxa"/>
                  <w:shd w:val="clear" w:color="auto" w:fill="F2DBDB" w:themeFill="accent2" w:themeFillTint="33"/>
                </w:tcPr>
                <w:p w14:paraId="47499E25" w14:textId="4EAE59B6" w:rsidR="00E65D9C" w:rsidRDefault="003A0D13" w:rsidP="00417F5A">
                  <w:pPr>
                    <w:pStyle w:val="NoSpacing"/>
                    <w:jc w:val="right"/>
                    <w:rPr>
                      <w:i/>
                      <w:sz w:val="20"/>
                    </w:rPr>
                  </w:pPr>
                  <w:r>
                    <w:rPr>
                      <w:i/>
                      <w:sz w:val="20"/>
                    </w:rPr>
                    <w:t>X</w:t>
                  </w:r>
                </w:p>
              </w:tc>
              <w:tc>
                <w:tcPr>
                  <w:tcW w:w="2268" w:type="dxa"/>
                </w:tcPr>
                <w:p w14:paraId="6E44DBB0" w14:textId="77777777" w:rsidR="00E65D9C" w:rsidRDefault="00E65D9C" w:rsidP="00417F5A">
                  <w:pPr>
                    <w:pStyle w:val="NoSpacing"/>
                    <w:jc w:val="right"/>
                    <w:rPr>
                      <w:i/>
                      <w:sz w:val="20"/>
                    </w:rPr>
                  </w:pPr>
                  <w:r>
                    <w:rPr>
                      <w:i/>
                      <w:sz w:val="20"/>
                    </w:rPr>
                    <w:t>Well established</w:t>
                  </w:r>
                </w:p>
              </w:tc>
              <w:tc>
                <w:tcPr>
                  <w:tcW w:w="425" w:type="dxa"/>
                  <w:shd w:val="clear" w:color="auto" w:fill="F2DBDB" w:themeFill="accent2" w:themeFillTint="33"/>
                </w:tcPr>
                <w:p w14:paraId="62ACDE81" w14:textId="77777777" w:rsidR="00E65D9C" w:rsidRDefault="00E65D9C" w:rsidP="00417F5A">
                  <w:pPr>
                    <w:pStyle w:val="NoSpacing"/>
                    <w:rPr>
                      <w:i/>
                      <w:sz w:val="20"/>
                    </w:rPr>
                  </w:pPr>
                </w:p>
              </w:tc>
            </w:tr>
          </w:tbl>
          <w:p w14:paraId="7AF8F048" w14:textId="77777777" w:rsidR="00E65D9C" w:rsidRDefault="00E65D9C" w:rsidP="00417F5A">
            <w:pPr>
              <w:pStyle w:val="NoSpacing"/>
              <w:rPr>
                <w:i/>
                <w:sz w:val="20"/>
              </w:rPr>
            </w:pPr>
          </w:p>
          <w:p w14:paraId="3B26E42E" w14:textId="77777777" w:rsidR="00E65D9C" w:rsidRDefault="00E65D9C" w:rsidP="00417F5A">
            <w:pPr>
              <w:pStyle w:val="NoSpacing"/>
              <w:rPr>
                <w:sz w:val="20"/>
              </w:rPr>
            </w:pPr>
            <w:r w:rsidRPr="00C856F5">
              <w:rPr>
                <w:i/>
                <w:sz w:val="20"/>
              </w:rPr>
              <w:t>Rationale</w:t>
            </w:r>
            <w:r>
              <w:rPr>
                <w:sz w:val="20"/>
              </w:rPr>
              <w:t>:</w:t>
            </w:r>
          </w:p>
          <w:p w14:paraId="5E0C9373" w14:textId="7F181BD2" w:rsidR="00E65D9C" w:rsidRPr="00002AED" w:rsidRDefault="003A0D13" w:rsidP="00417F5A">
            <w:pPr>
              <w:pStyle w:val="NoSpacing"/>
              <w:rPr>
                <w:sz w:val="20"/>
                <w:szCs w:val="20"/>
              </w:rPr>
            </w:pPr>
            <w:r w:rsidRPr="005A0032">
              <w:rPr>
                <w:szCs w:val="20"/>
              </w:rPr>
              <w:t>The us</w:t>
            </w:r>
            <w:r w:rsidR="000A540D" w:rsidRPr="005A0032">
              <w:rPr>
                <w:szCs w:val="20"/>
              </w:rPr>
              <w:t xml:space="preserve">e of this measure </w:t>
            </w:r>
            <w:r w:rsidR="005A023D" w:rsidRPr="005A0032">
              <w:rPr>
                <w:szCs w:val="20"/>
              </w:rPr>
              <w:t xml:space="preserve">to detect alien species </w:t>
            </w:r>
            <w:r w:rsidR="000A540D" w:rsidRPr="005A0032">
              <w:rPr>
                <w:szCs w:val="20"/>
              </w:rPr>
              <w:t xml:space="preserve">is becoming more popular and there is a consensus </w:t>
            </w:r>
            <w:r w:rsidR="00ED722F" w:rsidRPr="005A0032">
              <w:rPr>
                <w:szCs w:val="20"/>
              </w:rPr>
              <w:t xml:space="preserve">that </w:t>
            </w:r>
            <w:r w:rsidR="003D2307" w:rsidRPr="005A0032">
              <w:rPr>
                <w:szCs w:val="20"/>
              </w:rPr>
              <w:t xml:space="preserve">it should be used </w:t>
            </w:r>
            <w:r w:rsidR="00002AED" w:rsidRPr="005A0032">
              <w:rPr>
                <w:szCs w:val="20"/>
              </w:rPr>
              <w:t>much more in the future. However, the technique is still under development, so some thresho</w:t>
            </w:r>
            <w:r w:rsidR="008B0346" w:rsidRPr="005A0032">
              <w:rPr>
                <w:szCs w:val="20"/>
              </w:rPr>
              <w:t>ld</w:t>
            </w:r>
            <w:r w:rsidR="00002AED" w:rsidRPr="005A0032">
              <w:rPr>
                <w:szCs w:val="20"/>
              </w:rPr>
              <w:t xml:space="preserve">s </w:t>
            </w:r>
            <w:r w:rsidR="00B35B8E" w:rsidRPr="005A0032">
              <w:rPr>
                <w:szCs w:val="20"/>
              </w:rPr>
              <w:t xml:space="preserve">have yet to be </w:t>
            </w:r>
            <w:r w:rsidR="00254DC3" w:rsidRPr="005A0032">
              <w:rPr>
                <w:szCs w:val="20"/>
              </w:rPr>
              <w:t xml:space="preserve">agreed and </w:t>
            </w:r>
            <w:r w:rsidR="00B35B8E" w:rsidRPr="005A0032">
              <w:rPr>
                <w:szCs w:val="20"/>
              </w:rPr>
              <w:t xml:space="preserve">set. </w:t>
            </w:r>
          </w:p>
        </w:tc>
      </w:tr>
    </w:tbl>
    <w:p w14:paraId="711CB664" w14:textId="758E1116" w:rsidR="00E65D9C" w:rsidRDefault="00E65D9C"/>
    <w:p w14:paraId="66327572" w14:textId="77777777" w:rsidR="00E65D9C" w:rsidRDefault="00E65D9C"/>
    <w:tbl>
      <w:tblPr>
        <w:tblStyle w:val="TableGrid"/>
        <w:tblW w:w="0" w:type="auto"/>
        <w:tblLook w:val="04A0" w:firstRow="1" w:lastRow="0" w:firstColumn="1" w:lastColumn="0" w:noHBand="0" w:noVBand="1"/>
      </w:tblPr>
      <w:tblGrid>
        <w:gridCol w:w="3295"/>
        <w:gridCol w:w="10653"/>
      </w:tblGrid>
      <w:tr w:rsidR="00B76902" w:rsidRPr="00EA4F7D" w14:paraId="0986779C" w14:textId="77777777" w:rsidTr="00BD3B76">
        <w:tc>
          <w:tcPr>
            <w:tcW w:w="13948" w:type="dxa"/>
            <w:gridSpan w:val="2"/>
            <w:shd w:val="clear" w:color="auto" w:fill="E5B8B7" w:themeFill="accent2" w:themeFillTint="66"/>
          </w:tcPr>
          <w:p w14:paraId="1C7D2F26" w14:textId="77777777" w:rsidR="00B76902" w:rsidRPr="00EA4F7D" w:rsidRDefault="00B76902" w:rsidP="00BD3B76">
            <w:pPr>
              <w:pStyle w:val="NoSpacing"/>
              <w:rPr>
                <w:sz w:val="24"/>
                <w:szCs w:val="24"/>
              </w:rPr>
            </w:pPr>
            <w:r>
              <w:rPr>
                <w:rFonts w:eastAsia="Times New Roman"/>
                <w:b/>
                <w:sz w:val="28"/>
              </w:rPr>
              <w:t>Surveillance measures to support e</w:t>
            </w:r>
            <w:r w:rsidRPr="000D1AA8">
              <w:rPr>
                <w:rFonts w:eastAsia="Times New Roman"/>
                <w:b/>
                <w:sz w:val="28"/>
              </w:rPr>
              <w:t>arly detection</w:t>
            </w:r>
            <w:r w:rsidRPr="002B6463">
              <w:rPr>
                <w:b/>
                <w:sz w:val="28"/>
              </w:rPr>
              <w:t xml:space="preserve"> </w:t>
            </w:r>
            <w:r>
              <w:rPr>
                <w:b/>
                <w:sz w:val="28"/>
              </w:rPr>
              <w:t xml:space="preserve">- </w:t>
            </w:r>
            <w:r w:rsidRPr="00280410">
              <w:rPr>
                <w:rFonts w:cstheme="minorHAnsi"/>
                <w:sz w:val="20"/>
                <w:szCs w:val="20"/>
              </w:rPr>
              <w:t xml:space="preserve">Measures to run an effective surveillance system </w:t>
            </w:r>
            <w:r>
              <w:rPr>
                <w:rFonts w:cstheme="minorHAnsi"/>
                <w:sz w:val="20"/>
                <w:szCs w:val="20"/>
              </w:rPr>
              <w:t>for achieving</w:t>
            </w:r>
            <w:r w:rsidRPr="00280410">
              <w:rPr>
                <w:rFonts w:cstheme="minorHAnsi"/>
                <w:sz w:val="20"/>
                <w:szCs w:val="20"/>
              </w:rPr>
              <w:t xml:space="preserve"> an early detection of a new occurrence (cf. Article 16</w:t>
            </w:r>
            <w:r>
              <w:rPr>
                <w:rFonts w:cstheme="minorHAnsi"/>
                <w:sz w:val="20"/>
                <w:szCs w:val="20"/>
              </w:rPr>
              <w:t>).</w:t>
            </w:r>
            <w:r w:rsidRPr="00280410">
              <w:rPr>
                <w:rFonts w:cstheme="minorHAnsi"/>
                <w:sz w:val="20"/>
                <w:szCs w:val="20"/>
              </w:rPr>
              <w:t xml:space="preserve"> This section assume</w:t>
            </w:r>
            <w:r>
              <w:rPr>
                <w:rFonts w:cstheme="minorHAnsi"/>
                <w:sz w:val="20"/>
                <w:szCs w:val="20"/>
              </w:rPr>
              <w:t>s</w:t>
            </w:r>
            <w:r w:rsidRPr="00280410">
              <w:rPr>
                <w:rFonts w:cstheme="minorHAnsi"/>
                <w:sz w:val="20"/>
                <w:szCs w:val="20"/>
              </w:rPr>
              <w:t xml:space="preserve"> that the species is not currently present in a Member State, or part of a Member State’s territory. </w:t>
            </w:r>
            <w:r>
              <w:rPr>
                <w:rFonts w:cstheme="minorHAnsi"/>
                <w:b/>
                <w:sz w:val="20"/>
                <w:szCs w:val="24"/>
              </w:rPr>
              <w:t>T</w:t>
            </w:r>
            <w:r w:rsidRPr="00280410">
              <w:rPr>
                <w:rFonts w:cstheme="minorHAnsi"/>
                <w:b/>
                <w:sz w:val="20"/>
                <w:szCs w:val="24"/>
              </w:rPr>
              <w:t xml:space="preserve">his table </w:t>
            </w:r>
            <w:r>
              <w:rPr>
                <w:rFonts w:cstheme="minorHAnsi"/>
                <w:b/>
                <w:sz w:val="20"/>
                <w:szCs w:val="24"/>
              </w:rPr>
              <w:t>is repeated for each of the</w:t>
            </w:r>
            <w:r w:rsidRPr="00280410">
              <w:rPr>
                <w:rFonts w:cstheme="minorHAnsi"/>
                <w:b/>
                <w:sz w:val="20"/>
                <w:szCs w:val="24"/>
              </w:rPr>
              <w:t xml:space="preserve"> early detection measures</w:t>
            </w:r>
            <w:r>
              <w:rPr>
                <w:rFonts w:cstheme="minorHAnsi"/>
                <w:b/>
                <w:sz w:val="20"/>
                <w:szCs w:val="24"/>
              </w:rPr>
              <w:t xml:space="preserve"> identified.</w:t>
            </w:r>
          </w:p>
        </w:tc>
      </w:tr>
      <w:tr w:rsidR="00B76902" w:rsidRPr="007C654A" w14:paraId="061602F0" w14:textId="77777777" w:rsidTr="00BD3B76">
        <w:trPr>
          <w:trHeight w:val="517"/>
        </w:trPr>
        <w:tc>
          <w:tcPr>
            <w:tcW w:w="3295" w:type="dxa"/>
            <w:tcBorders>
              <w:bottom w:val="single" w:sz="4" w:space="0" w:color="auto"/>
            </w:tcBorders>
            <w:shd w:val="clear" w:color="auto" w:fill="F2DBDB" w:themeFill="accent2" w:themeFillTint="33"/>
          </w:tcPr>
          <w:p w14:paraId="06A754FF" w14:textId="77777777" w:rsidR="00B76902" w:rsidRDefault="00B76902" w:rsidP="00BD3B76">
            <w:pPr>
              <w:pStyle w:val="NoSpacing"/>
              <w:rPr>
                <w:b/>
              </w:rPr>
            </w:pPr>
            <w:r>
              <w:rPr>
                <w:b/>
              </w:rPr>
              <w:t>Measure description</w:t>
            </w:r>
          </w:p>
          <w:p w14:paraId="5C746C63" w14:textId="77777777" w:rsidR="00B76902" w:rsidRPr="00DE32F5" w:rsidRDefault="00B76902" w:rsidP="00BD3B76">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tc>
        <w:tc>
          <w:tcPr>
            <w:tcW w:w="10653" w:type="dxa"/>
            <w:tcBorders>
              <w:bottom w:val="single" w:sz="4" w:space="0" w:color="auto"/>
            </w:tcBorders>
          </w:tcPr>
          <w:p w14:paraId="796F032E" w14:textId="65F97BF9" w:rsidR="00B76902" w:rsidRPr="004D77F8" w:rsidRDefault="00D87809" w:rsidP="00BD3B76">
            <w:pPr>
              <w:rPr>
                <w:b/>
              </w:rPr>
            </w:pPr>
            <w:r w:rsidRPr="004D77F8">
              <w:rPr>
                <w:b/>
              </w:rPr>
              <w:t>D</w:t>
            </w:r>
            <w:r w:rsidR="00B764B9" w:rsidRPr="004D77F8">
              <w:rPr>
                <w:b/>
              </w:rPr>
              <w:t xml:space="preserve">evelop </w:t>
            </w:r>
            <w:r w:rsidR="00E7172D">
              <w:rPr>
                <w:b/>
              </w:rPr>
              <w:t xml:space="preserve">a </w:t>
            </w:r>
            <w:r w:rsidR="00B764B9" w:rsidRPr="004D77F8">
              <w:rPr>
                <w:b/>
              </w:rPr>
              <w:t>citizen science program</w:t>
            </w:r>
          </w:p>
          <w:p w14:paraId="32D9E729" w14:textId="0EE56D22" w:rsidR="00B76902" w:rsidRPr="004D77F8" w:rsidRDefault="00B76902" w:rsidP="00BD3B76"/>
          <w:p w14:paraId="09486229" w14:textId="7C238AE0" w:rsidR="00DB1982" w:rsidRPr="004D77F8" w:rsidRDefault="00C31E0A" w:rsidP="009A65D8">
            <w:r w:rsidRPr="004D77F8">
              <w:t xml:space="preserve">Managing biological invasions depends on accurate, detailed and up-to-date information on occurrences, distribution, pathways and impact of invasive alien species at varying spatial scales across Europe. </w:t>
            </w:r>
            <w:r w:rsidR="009A65D8" w:rsidRPr="004D77F8">
              <w:t xml:space="preserve">There are </w:t>
            </w:r>
            <w:r w:rsidR="00DB006C" w:rsidRPr="004D77F8">
              <w:t>several</w:t>
            </w:r>
            <w:r w:rsidR="009A65D8" w:rsidRPr="004D77F8">
              <w:t xml:space="preserve"> ways in which this</w:t>
            </w:r>
            <w:r w:rsidR="00DB006C" w:rsidRPr="004D77F8">
              <w:t xml:space="preserve"> </w:t>
            </w:r>
            <w:r w:rsidR="009A65D8" w:rsidRPr="004D77F8">
              <w:t>information can be gathered</w:t>
            </w:r>
            <w:r w:rsidR="009A3483">
              <w:t>,</w:t>
            </w:r>
            <w:r w:rsidR="009A65D8" w:rsidRPr="004D77F8">
              <w:t xml:space="preserve"> but increasingly </w:t>
            </w:r>
            <w:r w:rsidR="00DB006C" w:rsidRPr="004D77F8">
              <w:t>citizen science</w:t>
            </w:r>
            <w:r w:rsidR="009A65D8" w:rsidRPr="004D77F8">
              <w:t xml:space="preserve"> is seen as essential to ensure the spatial and temporal</w:t>
            </w:r>
            <w:r w:rsidR="00DB006C" w:rsidRPr="004D77F8">
              <w:t xml:space="preserve"> </w:t>
            </w:r>
            <w:r w:rsidR="009A65D8" w:rsidRPr="004D77F8">
              <w:t>resolution of data capture, allowing for rapid response and the success of prevention and management</w:t>
            </w:r>
            <w:r w:rsidR="00DB006C" w:rsidRPr="004D77F8">
              <w:t xml:space="preserve"> </w:t>
            </w:r>
            <w:r w:rsidR="009A65D8" w:rsidRPr="004D77F8">
              <w:t>programs</w:t>
            </w:r>
            <w:r w:rsidR="00DB006C" w:rsidRPr="004D77F8">
              <w:t xml:space="preserve"> (</w:t>
            </w:r>
            <w:r w:rsidR="00394FE2" w:rsidRPr="004D77F8">
              <w:t>Roy et al., 2018)</w:t>
            </w:r>
            <w:r w:rsidR="009A65D8" w:rsidRPr="004D77F8">
              <w:t>. Advances in technology, particularly on-line recording and smartphone apps, along with the</w:t>
            </w:r>
            <w:r w:rsidR="00394FE2" w:rsidRPr="004D77F8">
              <w:t xml:space="preserve"> </w:t>
            </w:r>
            <w:r w:rsidR="009A65D8" w:rsidRPr="004D77F8">
              <w:t>development of social media, have revolutioni</w:t>
            </w:r>
            <w:r w:rsidR="009A3483">
              <w:t>s</w:t>
            </w:r>
            <w:r w:rsidR="009A65D8" w:rsidRPr="004D77F8">
              <w:t xml:space="preserve">ed </w:t>
            </w:r>
            <w:r w:rsidR="00394FE2" w:rsidRPr="004D77F8">
              <w:t>citizen science</w:t>
            </w:r>
            <w:r w:rsidR="009A65D8" w:rsidRPr="004D77F8">
              <w:t xml:space="preserve"> and increased connectivity, while new and</w:t>
            </w:r>
            <w:r w:rsidR="00394FE2" w:rsidRPr="004D77F8">
              <w:t xml:space="preserve"> </w:t>
            </w:r>
            <w:r w:rsidR="009A65D8" w:rsidRPr="004D77F8">
              <w:t>innovative analysis techniques are emerging to ensure appropriate management, visuali</w:t>
            </w:r>
            <w:r w:rsidR="009A3483">
              <w:t>s</w:t>
            </w:r>
            <w:r w:rsidR="009A65D8" w:rsidRPr="004D77F8">
              <w:t>ation,</w:t>
            </w:r>
            <w:r w:rsidR="00394FE2" w:rsidRPr="004D77F8">
              <w:t xml:space="preserve"> </w:t>
            </w:r>
            <w:r w:rsidR="009A65D8" w:rsidRPr="004D77F8">
              <w:t>interpretation, use and sharing of the data</w:t>
            </w:r>
            <w:r w:rsidR="00DB1982" w:rsidRPr="004D77F8">
              <w:t xml:space="preserve"> (Roy et al., 2018)</w:t>
            </w:r>
            <w:r w:rsidR="009A65D8" w:rsidRPr="004D77F8">
              <w:t xml:space="preserve">. </w:t>
            </w:r>
            <w:r w:rsidR="00DE7CCB" w:rsidRPr="004D77F8">
              <w:t xml:space="preserve">The </w:t>
            </w:r>
            <w:r w:rsidR="00763E2A" w:rsidRPr="004D77F8">
              <w:t>J</w:t>
            </w:r>
            <w:r w:rsidR="00573948" w:rsidRPr="004D77F8">
              <w:t>oint Research Cent</w:t>
            </w:r>
            <w:r w:rsidR="009A3483">
              <w:t>r</w:t>
            </w:r>
            <w:r w:rsidR="00573948" w:rsidRPr="004D77F8">
              <w:t>e</w:t>
            </w:r>
            <w:r w:rsidR="00DA0540" w:rsidRPr="004D77F8">
              <w:t xml:space="preserve"> of </w:t>
            </w:r>
            <w:r w:rsidR="009A3483">
              <w:t xml:space="preserve">the </w:t>
            </w:r>
            <w:r w:rsidR="00DA0540" w:rsidRPr="004D77F8">
              <w:t>European Commission</w:t>
            </w:r>
            <w:r w:rsidR="00763E2A" w:rsidRPr="004D77F8">
              <w:t xml:space="preserve"> </w:t>
            </w:r>
            <w:r w:rsidR="00DE7CCB" w:rsidRPr="004D77F8">
              <w:t>has developed a dedicated smar</w:t>
            </w:r>
            <w:r w:rsidR="004F3CA0" w:rsidRPr="004D77F8">
              <w:t xml:space="preserve">tphone app for </w:t>
            </w:r>
            <w:r w:rsidR="009A3483">
              <w:t>recording</w:t>
            </w:r>
            <w:r w:rsidR="009A3483" w:rsidRPr="004D77F8">
              <w:t xml:space="preserve"> </w:t>
            </w:r>
            <w:r w:rsidR="004F3CA0" w:rsidRPr="004D77F8">
              <w:t>species of Union concern</w:t>
            </w:r>
            <w:r w:rsidR="009A3483">
              <w:t>;</w:t>
            </w:r>
            <w:r w:rsidR="004F3CA0" w:rsidRPr="004D77F8">
              <w:t xml:space="preserve"> thus</w:t>
            </w:r>
            <w:r w:rsidR="009A3483">
              <w:t>,</w:t>
            </w:r>
            <w:r w:rsidR="004F3CA0" w:rsidRPr="004D77F8">
              <w:t xml:space="preserve"> </w:t>
            </w:r>
            <w:r w:rsidR="009A3483">
              <w:t xml:space="preserve">data provided by </w:t>
            </w:r>
            <w:r w:rsidR="004F3CA0" w:rsidRPr="004D77F8">
              <w:t>c</w:t>
            </w:r>
            <w:r w:rsidR="006A2981" w:rsidRPr="004D77F8">
              <w:t xml:space="preserve">itizens </w:t>
            </w:r>
            <w:r w:rsidR="009A3483">
              <w:t xml:space="preserve">is </w:t>
            </w:r>
            <w:r w:rsidR="00980280" w:rsidRPr="004D77F8">
              <w:t>sen</w:t>
            </w:r>
            <w:r w:rsidR="009A3483">
              <w:t>t</w:t>
            </w:r>
            <w:r w:rsidR="00980280" w:rsidRPr="004D77F8">
              <w:t xml:space="preserve"> </w:t>
            </w:r>
            <w:r w:rsidR="009A3483">
              <w:t xml:space="preserve">directly </w:t>
            </w:r>
            <w:r w:rsidR="00980280" w:rsidRPr="004D77F8">
              <w:t xml:space="preserve">to </w:t>
            </w:r>
            <w:r w:rsidR="009A3483">
              <w:t xml:space="preserve">the </w:t>
            </w:r>
            <w:r w:rsidR="00980280" w:rsidRPr="004D77F8">
              <w:t>competent authority</w:t>
            </w:r>
            <w:r w:rsidR="009A3483">
              <w:t>,</w:t>
            </w:r>
            <w:r w:rsidR="00980280" w:rsidRPr="004D77F8">
              <w:t xml:space="preserve"> </w:t>
            </w:r>
            <w:r w:rsidR="009A3483">
              <w:t>which can help</w:t>
            </w:r>
            <w:r w:rsidR="00980280" w:rsidRPr="004D77F8">
              <w:t xml:space="preserve"> </w:t>
            </w:r>
            <w:r w:rsidR="009A3483">
              <w:t xml:space="preserve">to </w:t>
            </w:r>
            <w:r w:rsidR="00980280" w:rsidRPr="004D77F8">
              <w:t xml:space="preserve">detect species </w:t>
            </w:r>
            <w:r w:rsidR="00C11C0B" w:rsidRPr="004D77F8">
              <w:t xml:space="preserve">at </w:t>
            </w:r>
            <w:r w:rsidR="009A3483">
              <w:t>an</w:t>
            </w:r>
            <w:r w:rsidR="009A3483" w:rsidRPr="004D77F8">
              <w:t xml:space="preserve"> </w:t>
            </w:r>
            <w:r w:rsidR="00C11C0B" w:rsidRPr="004D77F8">
              <w:t xml:space="preserve">early stage of invasion. </w:t>
            </w:r>
          </w:p>
          <w:p w14:paraId="54D21DE3" w14:textId="77777777" w:rsidR="00B76902" w:rsidRDefault="005A6048" w:rsidP="00DB1982">
            <w:r w:rsidRPr="004D77F8">
              <w:t>Other species of Union concern can be detected by citizens</w:t>
            </w:r>
            <w:r w:rsidR="00DA0540" w:rsidRPr="004D77F8">
              <w:t xml:space="preserve"> using </w:t>
            </w:r>
            <w:r w:rsidR="00AA363C" w:rsidRPr="004D77F8">
              <w:t>that app</w:t>
            </w:r>
            <w:r w:rsidRPr="004D77F8">
              <w:t xml:space="preserve">. </w:t>
            </w:r>
          </w:p>
          <w:p w14:paraId="656245A0" w14:textId="4D3A68C5" w:rsidR="004D77F8" w:rsidRPr="00A04594" w:rsidRDefault="004D77F8" w:rsidP="00DB1982">
            <w:pPr>
              <w:rPr>
                <w:sz w:val="20"/>
              </w:rPr>
            </w:pPr>
          </w:p>
        </w:tc>
      </w:tr>
      <w:tr w:rsidR="00B76902" w:rsidRPr="00DF3987" w14:paraId="0A70DC41" w14:textId="77777777" w:rsidTr="00BD3B76">
        <w:trPr>
          <w:trHeight w:val="517"/>
        </w:trPr>
        <w:tc>
          <w:tcPr>
            <w:tcW w:w="3295" w:type="dxa"/>
            <w:tcBorders>
              <w:bottom w:val="single" w:sz="4" w:space="0" w:color="auto"/>
            </w:tcBorders>
            <w:shd w:val="clear" w:color="auto" w:fill="F2DBDB" w:themeFill="accent2" w:themeFillTint="33"/>
          </w:tcPr>
          <w:p w14:paraId="157B75AD" w14:textId="77777777" w:rsidR="00B76902" w:rsidRDefault="00B76902" w:rsidP="00BD3B76">
            <w:pPr>
              <w:pStyle w:val="NoSpacing"/>
              <w:rPr>
                <w:b/>
              </w:rPr>
            </w:pPr>
            <w:r>
              <w:rPr>
                <w:b/>
              </w:rPr>
              <w:t>Scale of application</w:t>
            </w:r>
          </w:p>
          <w:p w14:paraId="024DFD89" w14:textId="0404C561" w:rsidR="00B76902" w:rsidRPr="00DE32F5" w:rsidRDefault="00B76902" w:rsidP="00A04594">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tc>
        <w:tc>
          <w:tcPr>
            <w:tcW w:w="10653" w:type="dxa"/>
            <w:tcBorders>
              <w:bottom w:val="single" w:sz="4" w:space="0" w:color="auto"/>
            </w:tcBorders>
          </w:tcPr>
          <w:p w14:paraId="050420F4" w14:textId="7CE94514" w:rsidR="00B76902" w:rsidRPr="00A04594" w:rsidRDefault="0076274C" w:rsidP="0076274C">
            <w:pPr>
              <w:rPr>
                <w:sz w:val="20"/>
                <w:szCs w:val="20"/>
              </w:rPr>
            </w:pPr>
            <w:r>
              <w:rPr>
                <w:szCs w:val="20"/>
              </w:rPr>
              <w:t>The s</w:t>
            </w:r>
            <w:r w:rsidR="00A04594" w:rsidRPr="004D77F8">
              <w:rPr>
                <w:szCs w:val="20"/>
              </w:rPr>
              <w:t xml:space="preserve">cale is wide </w:t>
            </w:r>
            <w:r>
              <w:rPr>
                <w:szCs w:val="20"/>
              </w:rPr>
              <w:t xml:space="preserve">and </w:t>
            </w:r>
            <w:r w:rsidR="00A04594" w:rsidRPr="004D77F8">
              <w:rPr>
                <w:szCs w:val="20"/>
              </w:rPr>
              <w:t>can cover all the aquatic systems of national territories.</w:t>
            </w:r>
          </w:p>
        </w:tc>
      </w:tr>
      <w:tr w:rsidR="00B76902" w:rsidRPr="002B6463" w14:paraId="243BFC2E" w14:textId="77777777" w:rsidTr="00BD3B76">
        <w:trPr>
          <w:trHeight w:val="2222"/>
        </w:trPr>
        <w:tc>
          <w:tcPr>
            <w:tcW w:w="3295" w:type="dxa"/>
            <w:tcBorders>
              <w:top w:val="single" w:sz="4" w:space="0" w:color="auto"/>
            </w:tcBorders>
            <w:shd w:val="clear" w:color="auto" w:fill="F2DBDB" w:themeFill="accent2" w:themeFillTint="33"/>
          </w:tcPr>
          <w:p w14:paraId="26BE6925" w14:textId="4614C506" w:rsidR="00B76902" w:rsidRPr="0039672E" w:rsidRDefault="00B76902" w:rsidP="00BD3B76">
            <w:pPr>
              <w:pStyle w:val="NoSpacing"/>
              <w:rPr>
                <w:b/>
              </w:rPr>
            </w:pPr>
            <w:r w:rsidRPr="0039672E">
              <w:rPr>
                <w:b/>
              </w:rPr>
              <w:lastRenderedPageBreak/>
              <w:t xml:space="preserve">Effectiveness of </w:t>
            </w:r>
            <w:r>
              <w:rPr>
                <w:b/>
              </w:rPr>
              <w:t xml:space="preserve">the </w:t>
            </w:r>
            <w:r w:rsidRPr="0039672E">
              <w:rPr>
                <w:b/>
              </w:rPr>
              <w:t>measure</w:t>
            </w:r>
          </w:p>
          <w:p w14:paraId="71D47C38" w14:textId="77777777" w:rsidR="00B76902" w:rsidRPr="0039672E" w:rsidRDefault="00B76902" w:rsidP="00BD3B76">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7FAE6A19" w14:textId="77777777" w:rsidR="00B76902" w:rsidRDefault="00B76902" w:rsidP="00BD3B76">
            <w:pPr>
              <w:pStyle w:val="NoSpacing"/>
              <w:rPr>
                <w:sz w:val="20"/>
              </w:rPr>
            </w:pPr>
          </w:p>
          <w:p w14:paraId="612947BA" w14:textId="77777777" w:rsidR="00B76902" w:rsidRPr="00DE32F5" w:rsidRDefault="00B76902" w:rsidP="00BD3B76">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417"/>
              <w:gridCol w:w="425"/>
              <w:gridCol w:w="1418"/>
              <w:gridCol w:w="425"/>
              <w:gridCol w:w="1418"/>
              <w:gridCol w:w="283"/>
              <w:gridCol w:w="1418"/>
              <w:gridCol w:w="425"/>
            </w:tblGrid>
            <w:tr w:rsidR="00B76902" w14:paraId="279BE727" w14:textId="77777777" w:rsidTr="00BD3B76">
              <w:tc>
                <w:tcPr>
                  <w:tcW w:w="2116" w:type="dxa"/>
                </w:tcPr>
                <w:p w14:paraId="07B19426" w14:textId="77777777" w:rsidR="00B76902" w:rsidRPr="002E17F6" w:rsidRDefault="00B76902" w:rsidP="00BD3B76">
                  <w:pPr>
                    <w:pStyle w:val="NoSpacing"/>
                    <w:rPr>
                      <w:b/>
                      <w:i/>
                      <w:sz w:val="20"/>
                    </w:rPr>
                  </w:pPr>
                  <w:r>
                    <w:rPr>
                      <w:b/>
                      <w:i/>
                      <w:sz w:val="20"/>
                    </w:rPr>
                    <w:t>Effectiveness of measures</w:t>
                  </w:r>
                </w:p>
              </w:tc>
              <w:tc>
                <w:tcPr>
                  <w:tcW w:w="1417" w:type="dxa"/>
                </w:tcPr>
                <w:p w14:paraId="428D26A8" w14:textId="77777777" w:rsidR="00B76902" w:rsidRDefault="00B76902" w:rsidP="00BD3B76">
                  <w:pPr>
                    <w:pStyle w:val="NoSpacing"/>
                    <w:jc w:val="right"/>
                    <w:rPr>
                      <w:i/>
                      <w:sz w:val="20"/>
                    </w:rPr>
                  </w:pPr>
                  <w:r>
                    <w:rPr>
                      <w:i/>
                      <w:sz w:val="20"/>
                    </w:rPr>
                    <w:t>Effective</w:t>
                  </w:r>
                </w:p>
              </w:tc>
              <w:tc>
                <w:tcPr>
                  <w:tcW w:w="425" w:type="dxa"/>
                  <w:shd w:val="clear" w:color="auto" w:fill="F2DBDB" w:themeFill="accent2" w:themeFillTint="33"/>
                </w:tcPr>
                <w:p w14:paraId="3C10E55B" w14:textId="25D74628" w:rsidR="00B76902" w:rsidRDefault="00A04594" w:rsidP="00BD3B76">
                  <w:pPr>
                    <w:pStyle w:val="NoSpacing"/>
                    <w:jc w:val="right"/>
                    <w:rPr>
                      <w:i/>
                      <w:sz w:val="20"/>
                    </w:rPr>
                  </w:pPr>
                  <w:r>
                    <w:rPr>
                      <w:i/>
                      <w:sz w:val="20"/>
                    </w:rPr>
                    <w:t>X</w:t>
                  </w:r>
                </w:p>
              </w:tc>
              <w:tc>
                <w:tcPr>
                  <w:tcW w:w="1418" w:type="dxa"/>
                </w:tcPr>
                <w:p w14:paraId="6F3BA43B" w14:textId="77777777" w:rsidR="00B76902" w:rsidRDefault="00B76902" w:rsidP="00BD3B76">
                  <w:pPr>
                    <w:pStyle w:val="NoSpacing"/>
                    <w:jc w:val="right"/>
                    <w:rPr>
                      <w:i/>
                      <w:sz w:val="20"/>
                    </w:rPr>
                  </w:pPr>
                  <w:r>
                    <w:rPr>
                      <w:i/>
                      <w:sz w:val="20"/>
                    </w:rPr>
                    <w:t xml:space="preserve">Neutral </w:t>
                  </w:r>
                </w:p>
              </w:tc>
              <w:tc>
                <w:tcPr>
                  <w:tcW w:w="425" w:type="dxa"/>
                  <w:shd w:val="clear" w:color="auto" w:fill="F2DBDB" w:themeFill="accent2" w:themeFillTint="33"/>
                </w:tcPr>
                <w:p w14:paraId="5E1852E8" w14:textId="77777777" w:rsidR="00B76902" w:rsidRDefault="00B76902" w:rsidP="00BD3B76">
                  <w:pPr>
                    <w:pStyle w:val="NoSpacing"/>
                    <w:jc w:val="right"/>
                    <w:rPr>
                      <w:i/>
                      <w:sz w:val="20"/>
                    </w:rPr>
                  </w:pPr>
                </w:p>
              </w:tc>
              <w:tc>
                <w:tcPr>
                  <w:tcW w:w="1418" w:type="dxa"/>
                </w:tcPr>
                <w:p w14:paraId="663188A3" w14:textId="77777777" w:rsidR="00B76902" w:rsidRDefault="00B76902" w:rsidP="00BD3B76">
                  <w:pPr>
                    <w:pStyle w:val="NoSpacing"/>
                    <w:jc w:val="right"/>
                    <w:rPr>
                      <w:i/>
                      <w:sz w:val="20"/>
                    </w:rPr>
                  </w:pPr>
                  <w:r>
                    <w:rPr>
                      <w:i/>
                      <w:sz w:val="20"/>
                    </w:rPr>
                    <w:t>Ineffective</w:t>
                  </w:r>
                </w:p>
              </w:tc>
              <w:tc>
                <w:tcPr>
                  <w:tcW w:w="283" w:type="dxa"/>
                  <w:shd w:val="clear" w:color="auto" w:fill="F2DBDB" w:themeFill="accent2" w:themeFillTint="33"/>
                </w:tcPr>
                <w:p w14:paraId="1553C6CF" w14:textId="77777777" w:rsidR="00B76902" w:rsidRDefault="00B76902" w:rsidP="00BD3B76">
                  <w:pPr>
                    <w:pStyle w:val="NoSpacing"/>
                    <w:rPr>
                      <w:i/>
                      <w:sz w:val="20"/>
                    </w:rPr>
                  </w:pPr>
                </w:p>
              </w:tc>
              <w:tc>
                <w:tcPr>
                  <w:tcW w:w="1418" w:type="dxa"/>
                  <w:shd w:val="clear" w:color="auto" w:fill="auto"/>
                </w:tcPr>
                <w:p w14:paraId="49FEB4C3" w14:textId="77777777" w:rsidR="00B76902" w:rsidRDefault="00B76902" w:rsidP="00BD3B76">
                  <w:pPr>
                    <w:pStyle w:val="NoSpacing"/>
                    <w:rPr>
                      <w:i/>
                      <w:sz w:val="20"/>
                    </w:rPr>
                  </w:pPr>
                  <w:r>
                    <w:rPr>
                      <w:i/>
                      <w:sz w:val="20"/>
                    </w:rPr>
                    <w:t>Unknown</w:t>
                  </w:r>
                </w:p>
              </w:tc>
              <w:tc>
                <w:tcPr>
                  <w:tcW w:w="425" w:type="dxa"/>
                  <w:shd w:val="clear" w:color="auto" w:fill="F2DBDB" w:themeFill="accent2" w:themeFillTint="33"/>
                </w:tcPr>
                <w:p w14:paraId="4B697435" w14:textId="77777777" w:rsidR="00B76902" w:rsidRDefault="00B76902" w:rsidP="00BD3B76">
                  <w:pPr>
                    <w:pStyle w:val="NoSpacing"/>
                    <w:rPr>
                      <w:i/>
                      <w:sz w:val="20"/>
                    </w:rPr>
                  </w:pPr>
                </w:p>
              </w:tc>
            </w:tr>
          </w:tbl>
          <w:p w14:paraId="22FF8B1A" w14:textId="77777777" w:rsidR="00B76902" w:rsidRDefault="00B76902" w:rsidP="00BD3B76">
            <w:pPr>
              <w:pStyle w:val="NoSpacing"/>
              <w:rPr>
                <w:i/>
                <w:sz w:val="20"/>
              </w:rPr>
            </w:pPr>
          </w:p>
          <w:p w14:paraId="4088264F" w14:textId="77777777" w:rsidR="00B76902" w:rsidRDefault="00B76902" w:rsidP="00BD3B76">
            <w:pPr>
              <w:pStyle w:val="NoSpacing"/>
              <w:rPr>
                <w:sz w:val="20"/>
              </w:rPr>
            </w:pPr>
            <w:r w:rsidRPr="00C856F5">
              <w:rPr>
                <w:i/>
                <w:sz w:val="20"/>
              </w:rPr>
              <w:t>Rationale</w:t>
            </w:r>
            <w:r>
              <w:rPr>
                <w:sz w:val="20"/>
              </w:rPr>
              <w:t>:</w:t>
            </w:r>
          </w:p>
          <w:p w14:paraId="0FBEA559" w14:textId="77C7787F" w:rsidR="003B3F73" w:rsidRDefault="00B32B85" w:rsidP="00BD3B76">
            <w:pPr>
              <w:pStyle w:val="NoSpacing"/>
            </w:pPr>
            <w:r>
              <w:t xml:space="preserve">There </w:t>
            </w:r>
            <w:r w:rsidR="000837F6">
              <w:t>is much</w:t>
            </w:r>
            <w:r>
              <w:t xml:space="preserve"> </w:t>
            </w:r>
            <w:r w:rsidR="00535ED6">
              <w:t>evidence</w:t>
            </w:r>
            <w:r w:rsidR="000837F6">
              <w:t xml:space="preserve"> </w:t>
            </w:r>
            <w:r w:rsidR="00E455DD">
              <w:t xml:space="preserve">confirming </w:t>
            </w:r>
            <w:r w:rsidR="00E455DD" w:rsidRPr="004D77F8">
              <w:t>the effectiveness of this measure</w:t>
            </w:r>
            <w:r w:rsidR="00E455DD">
              <w:t>: through citizen science, d</w:t>
            </w:r>
            <w:r w:rsidR="00286348" w:rsidRPr="004D77F8">
              <w:t xml:space="preserve">ifferent nests of </w:t>
            </w:r>
            <w:r w:rsidR="003B3F73">
              <w:t xml:space="preserve">the </w:t>
            </w:r>
            <w:r w:rsidR="00286348" w:rsidRPr="004D77F8">
              <w:t>Asian hornet</w:t>
            </w:r>
            <w:r w:rsidR="003B3F73">
              <w:t>,</w:t>
            </w:r>
            <w:r w:rsidR="00286348" w:rsidRPr="004D77F8">
              <w:t xml:space="preserve"> </w:t>
            </w:r>
            <w:r w:rsidR="00A00E5A" w:rsidRPr="004D77F8">
              <w:rPr>
                <w:i/>
              </w:rPr>
              <w:t xml:space="preserve">Vespa </w:t>
            </w:r>
            <w:proofErr w:type="spellStart"/>
            <w:r w:rsidR="00A00E5A" w:rsidRPr="004D77F8">
              <w:rPr>
                <w:i/>
              </w:rPr>
              <w:t>velutina</w:t>
            </w:r>
            <w:proofErr w:type="spellEnd"/>
            <w:r w:rsidR="003B3F73">
              <w:t>,</w:t>
            </w:r>
            <w:r w:rsidR="00286348" w:rsidRPr="004D77F8">
              <w:t xml:space="preserve"> have been detected </w:t>
            </w:r>
            <w:r w:rsidR="000837F6" w:rsidRPr="004D77F8">
              <w:t xml:space="preserve">in </w:t>
            </w:r>
            <w:r w:rsidR="000837F6">
              <w:t xml:space="preserve">the </w:t>
            </w:r>
            <w:r w:rsidR="000837F6" w:rsidRPr="004D77F8">
              <w:t xml:space="preserve">UK </w:t>
            </w:r>
            <w:r w:rsidR="00C6383D" w:rsidRPr="004D77F8">
              <w:t>(H. Roy, pers. comm.</w:t>
            </w:r>
            <w:r w:rsidR="003B3F73">
              <w:t>, 2019</w:t>
            </w:r>
            <w:r w:rsidR="00C6383D" w:rsidRPr="004D77F8">
              <w:t>)</w:t>
            </w:r>
            <w:r w:rsidR="00E455DD">
              <w:t>, as well as many</w:t>
            </w:r>
            <w:r w:rsidR="008A6960">
              <w:t xml:space="preserve"> first records for</w:t>
            </w:r>
            <w:r w:rsidR="00E455DD">
              <w:t xml:space="preserve"> f</w:t>
            </w:r>
            <w:r w:rsidR="002158AA">
              <w:t xml:space="preserve">reshwater and marine </w:t>
            </w:r>
            <w:r w:rsidR="00E455DD">
              <w:t xml:space="preserve">alien </w:t>
            </w:r>
            <w:r w:rsidR="002158AA">
              <w:t xml:space="preserve">species </w:t>
            </w:r>
            <w:r w:rsidR="00515963">
              <w:t xml:space="preserve">also </w:t>
            </w:r>
            <w:r w:rsidR="00671B37">
              <w:t xml:space="preserve">in Europe </w:t>
            </w:r>
            <w:r w:rsidR="000837F6">
              <w:t xml:space="preserve">(Azzurro et al., 2013; </w:t>
            </w:r>
            <w:proofErr w:type="spellStart"/>
            <w:r w:rsidR="000837F6">
              <w:t>Zenetos</w:t>
            </w:r>
            <w:proofErr w:type="spellEnd"/>
            <w:r w:rsidR="000837F6">
              <w:t xml:space="preserve"> et al., 2013; </w:t>
            </w:r>
            <w:proofErr w:type="spellStart"/>
            <w:r w:rsidR="0084375A">
              <w:t>Andaloro</w:t>
            </w:r>
            <w:proofErr w:type="spellEnd"/>
            <w:r w:rsidR="0084375A">
              <w:t xml:space="preserve"> et al., 2016; </w:t>
            </w:r>
            <w:r w:rsidR="000837F6">
              <w:t xml:space="preserve">Miyazaki et al., 2016; </w:t>
            </w:r>
            <w:proofErr w:type="spellStart"/>
            <w:r w:rsidR="00745CE6">
              <w:t>Giovos</w:t>
            </w:r>
            <w:proofErr w:type="spellEnd"/>
            <w:r w:rsidR="00745CE6">
              <w:t xml:space="preserve"> et al</w:t>
            </w:r>
            <w:r w:rsidR="000837F6">
              <w:t>., 2018</w:t>
            </w:r>
            <w:r w:rsidR="00515963">
              <w:t>).</w:t>
            </w:r>
          </w:p>
          <w:p w14:paraId="2DD79C52" w14:textId="6C5602A8" w:rsidR="00B76902" w:rsidRDefault="00EA5D53" w:rsidP="00BD3B76">
            <w:pPr>
              <w:pStyle w:val="NoSpacing"/>
            </w:pPr>
            <w:r w:rsidRPr="004D77F8">
              <w:t xml:space="preserve">The first confirmed record </w:t>
            </w:r>
            <w:r w:rsidR="003B3F73">
              <w:t xml:space="preserve">of Chinese mitten crab </w:t>
            </w:r>
            <w:r w:rsidRPr="004D77F8">
              <w:t xml:space="preserve">along the entire eastern </w:t>
            </w:r>
            <w:r w:rsidR="003B3F73">
              <w:t>USA</w:t>
            </w:r>
            <w:r w:rsidRPr="004D77F8">
              <w:t>, from Florida to Maine, was in Chesapeake Bay near Baltimore, Maryland</w:t>
            </w:r>
            <w:r w:rsidR="003B3F73">
              <w:t>,</w:t>
            </w:r>
            <w:r w:rsidRPr="004D77F8">
              <w:t xml:space="preserve"> in 2005. This initial crab was reported by a commercial crabber</w:t>
            </w:r>
            <w:r w:rsidR="003B3F73">
              <w:rPr>
                <w:rStyle w:val="FootnoteReference"/>
              </w:rPr>
              <w:footnoteReference w:id="18"/>
            </w:r>
            <w:r w:rsidR="00C46FA1" w:rsidRPr="004D77F8">
              <w:t xml:space="preserve">. </w:t>
            </w:r>
          </w:p>
          <w:p w14:paraId="42327193" w14:textId="094B6E6A" w:rsidR="004D77F8" w:rsidRPr="004D77F8" w:rsidRDefault="004D77F8" w:rsidP="00BD3B76">
            <w:pPr>
              <w:pStyle w:val="NoSpacing"/>
            </w:pPr>
          </w:p>
        </w:tc>
      </w:tr>
      <w:tr w:rsidR="00B76902" w:rsidRPr="002B6463" w14:paraId="59B93BF2" w14:textId="77777777" w:rsidTr="00BD3B76">
        <w:tc>
          <w:tcPr>
            <w:tcW w:w="3295" w:type="dxa"/>
            <w:shd w:val="clear" w:color="auto" w:fill="F2DBDB" w:themeFill="accent2" w:themeFillTint="33"/>
          </w:tcPr>
          <w:p w14:paraId="2C463A24" w14:textId="77777777" w:rsidR="00B76902" w:rsidRPr="0039672E" w:rsidRDefault="00B76902" w:rsidP="00BD3B76">
            <w:pPr>
              <w:pStyle w:val="NoSpacing"/>
              <w:rPr>
                <w:b/>
              </w:rPr>
            </w:pPr>
            <w:r w:rsidRPr="0039672E">
              <w:rPr>
                <w:b/>
              </w:rPr>
              <w:t>Effort required</w:t>
            </w:r>
          </w:p>
          <w:p w14:paraId="1D315138" w14:textId="77777777" w:rsidR="00B76902" w:rsidRPr="002B6463" w:rsidRDefault="00B76902" w:rsidP="00BD3B76">
            <w:pPr>
              <w:pStyle w:val="NoSpacing"/>
              <w:rPr>
                <w:sz w:val="20"/>
              </w:rPr>
            </w:pPr>
            <w:r w:rsidRPr="00EA6987">
              <w:rPr>
                <w:sz w:val="20"/>
              </w:rPr>
              <w:t>e.g. period of time over which measure need</w:t>
            </w:r>
            <w:r>
              <w:rPr>
                <w:sz w:val="20"/>
              </w:rPr>
              <w:t>s</w:t>
            </w:r>
            <w:r w:rsidRPr="00EA6987">
              <w:rPr>
                <w:sz w:val="20"/>
              </w:rPr>
              <w:t xml:space="preserve"> to be applied to have results</w:t>
            </w:r>
          </w:p>
        </w:tc>
        <w:tc>
          <w:tcPr>
            <w:tcW w:w="10653" w:type="dxa"/>
          </w:tcPr>
          <w:p w14:paraId="08059888" w14:textId="2D4DD572" w:rsidR="00B76902" w:rsidRPr="002B6463" w:rsidRDefault="00794178" w:rsidP="00FB40F3">
            <w:pPr>
              <w:pStyle w:val="NoSpacing"/>
              <w:rPr>
                <w:sz w:val="20"/>
              </w:rPr>
            </w:pPr>
            <w:r w:rsidRPr="004D77F8">
              <w:t xml:space="preserve">This measure </w:t>
            </w:r>
            <w:r w:rsidR="00FB40F3">
              <w:t>should</w:t>
            </w:r>
            <w:r w:rsidR="00FB40F3" w:rsidRPr="004D77F8">
              <w:t xml:space="preserve"> </w:t>
            </w:r>
            <w:r w:rsidRPr="004D77F8">
              <w:t>be applied</w:t>
            </w:r>
            <w:r w:rsidR="00A643D7">
              <w:t xml:space="preserve"> </w:t>
            </w:r>
            <w:r w:rsidR="00FB40F3">
              <w:t>indefinitely</w:t>
            </w:r>
            <w:r w:rsidRPr="004D77F8">
              <w:t xml:space="preserve">. </w:t>
            </w:r>
          </w:p>
        </w:tc>
      </w:tr>
      <w:tr w:rsidR="00B76902" w:rsidRPr="002B6463" w14:paraId="51CCDFD0" w14:textId="77777777" w:rsidTr="00BD3B76">
        <w:tc>
          <w:tcPr>
            <w:tcW w:w="3295" w:type="dxa"/>
            <w:shd w:val="clear" w:color="auto" w:fill="F2DBDB" w:themeFill="accent2" w:themeFillTint="33"/>
          </w:tcPr>
          <w:p w14:paraId="323DA901" w14:textId="77777777" w:rsidR="00B76902" w:rsidRPr="0039672E" w:rsidRDefault="00B76902" w:rsidP="00BD3B76">
            <w:pPr>
              <w:pStyle w:val="NoSpacing"/>
              <w:rPr>
                <w:b/>
                <w:sz w:val="24"/>
                <w:vertAlign w:val="superscript"/>
              </w:rPr>
            </w:pPr>
            <w:r w:rsidRPr="0039672E">
              <w:rPr>
                <w:b/>
              </w:rPr>
              <w:t>Resources required</w:t>
            </w:r>
            <w:r>
              <w:rPr>
                <w:b/>
              </w:rPr>
              <w:t xml:space="preserve"> </w:t>
            </w:r>
            <w:r>
              <w:rPr>
                <w:b/>
                <w:vertAlign w:val="superscript"/>
              </w:rPr>
              <w:t>1</w:t>
            </w:r>
          </w:p>
          <w:p w14:paraId="02894909" w14:textId="77777777" w:rsidR="00B76902" w:rsidRPr="002B6463" w:rsidRDefault="00B76902" w:rsidP="00BD3B76">
            <w:pPr>
              <w:pStyle w:val="NoSpacing"/>
              <w:rPr>
                <w:sz w:val="20"/>
              </w:rPr>
            </w:pPr>
            <w:r>
              <w:rPr>
                <w:sz w:val="20"/>
              </w:rPr>
              <w:t>e.g. cost, staff, equipment etc.</w:t>
            </w:r>
          </w:p>
        </w:tc>
        <w:tc>
          <w:tcPr>
            <w:tcW w:w="10653" w:type="dxa"/>
          </w:tcPr>
          <w:p w14:paraId="5F028F44" w14:textId="77777777" w:rsidR="004D77F8" w:rsidRDefault="007F6615" w:rsidP="00F75F97">
            <w:pPr>
              <w:pStyle w:val="NoSpacing"/>
            </w:pPr>
            <w:r>
              <w:t>Most</w:t>
            </w:r>
            <w:r w:rsidR="0024780B" w:rsidRPr="004D77F8">
              <w:t xml:space="preserve"> citizen</w:t>
            </w:r>
            <w:r>
              <w:t>s</w:t>
            </w:r>
            <w:r w:rsidR="0024780B" w:rsidRPr="004D77F8">
              <w:t xml:space="preserve"> ha</w:t>
            </w:r>
            <w:r>
              <w:t>ve</w:t>
            </w:r>
            <w:r w:rsidR="0024780B" w:rsidRPr="004D77F8">
              <w:t xml:space="preserve"> a smartphone,</w:t>
            </w:r>
            <w:r w:rsidR="00C376F8">
              <w:t xml:space="preserve"> and</w:t>
            </w:r>
            <w:r w:rsidR="0024780B" w:rsidRPr="004D77F8">
              <w:t xml:space="preserve"> the apps are </w:t>
            </w:r>
            <w:r>
              <w:t xml:space="preserve">already </w:t>
            </w:r>
            <w:r w:rsidR="0024780B" w:rsidRPr="004D77F8">
              <w:t>developed</w:t>
            </w:r>
            <w:r w:rsidR="00C376F8">
              <w:t>. P</w:t>
            </w:r>
            <w:r w:rsidR="0024780B" w:rsidRPr="004D77F8">
              <w:t xml:space="preserve">otential costs </w:t>
            </w:r>
            <w:r w:rsidR="009C74F5" w:rsidRPr="004D77F8">
              <w:t xml:space="preserve">are </w:t>
            </w:r>
            <w:r w:rsidR="0024780B" w:rsidRPr="004D77F8">
              <w:t xml:space="preserve">related </w:t>
            </w:r>
            <w:r w:rsidR="009C74F5" w:rsidRPr="004D77F8">
              <w:t>to</w:t>
            </w:r>
            <w:r w:rsidR="006C725F">
              <w:t xml:space="preserve"> </w:t>
            </w:r>
            <w:r w:rsidR="00C376F8">
              <w:t>maintain</w:t>
            </w:r>
            <w:r w:rsidR="006C725F">
              <w:t>ing and updating</w:t>
            </w:r>
            <w:r w:rsidR="00C376F8">
              <w:t xml:space="preserve"> the apps</w:t>
            </w:r>
            <w:r w:rsidR="008A0BE6">
              <w:t xml:space="preserve">: </w:t>
            </w:r>
            <w:r w:rsidR="00786053">
              <w:t>maintenance can vary</w:t>
            </w:r>
            <w:r w:rsidR="00C376F8">
              <w:t xml:space="preserve"> </w:t>
            </w:r>
            <w:r w:rsidR="00055ECA" w:rsidRPr="00055ECA">
              <w:t>between 15 to 20% of app’s development price</w:t>
            </w:r>
            <w:r w:rsidR="00C50E41">
              <w:rPr>
                <w:rStyle w:val="FootnoteReference"/>
              </w:rPr>
              <w:footnoteReference w:id="19"/>
            </w:r>
            <w:r w:rsidR="006C725F">
              <w:t>.</w:t>
            </w:r>
            <w:r w:rsidR="00786053">
              <w:t xml:space="preserve"> </w:t>
            </w:r>
            <w:r w:rsidR="006C725F">
              <w:t>F</w:t>
            </w:r>
            <w:r w:rsidR="00F003AB">
              <w:t xml:space="preserve">or example, </w:t>
            </w:r>
            <w:r w:rsidR="008A0BE6">
              <w:t>as reported by Adriaens et al. (2015)</w:t>
            </w:r>
            <w:r w:rsidR="00AD3268">
              <w:t>, an</w:t>
            </w:r>
            <w:r w:rsidR="008A0BE6">
              <w:t xml:space="preserve"> </w:t>
            </w:r>
            <w:r w:rsidR="00F003AB">
              <w:t>app developed by</w:t>
            </w:r>
            <w:r w:rsidR="006C725F">
              <w:t xml:space="preserve"> the</w:t>
            </w:r>
            <w:r w:rsidR="00F003AB">
              <w:t xml:space="preserve"> RINSE project costed </w:t>
            </w:r>
            <w:r w:rsidR="000D3680">
              <w:t>20,262 €</w:t>
            </w:r>
            <w:r w:rsidR="008A0BE6">
              <w:t xml:space="preserve">, so a rough estimate of maintenance </w:t>
            </w:r>
            <w:r w:rsidR="006C725F">
              <w:t xml:space="preserve">costs </w:t>
            </w:r>
            <w:r w:rsidR="00805D01">
              <w:t xml:space="preserve">could be between </w:t>
            </w:r>
            <w:r w:rsidR="00C3274C">
              <w:t>3000</w:t>
            </w:r>
            <w:r w:rsidR="00805D01">
              <w:t xml:space="preserve"> and </w:t>
            </w:r>
            <w:r w:rsidR="00C3274C">
              <w:t>4000 € per year</w:t>
            </w:r>
            <w:r w:rsidR="009B287F">
              <w:t xml:space="preserve">. Costs of </w:t>
            </w:r>
            <w:r w:rsidR="009C74F5" w:rsidRPr="004D77F8">
              <w:t>people screening</w:t>
            </w:r>
            <w:r>
              <w:t xml:space="preserve">, </w:t>
            </w:r>
            <w:r w:rsidR="00C3274C">
              <w:t>validating</w:t>
            </w:r>
            <w:r w:rsidR="00C3274C" w:rsidRPr="004D77F8">
              <w:t xml:space="preserve"> </w:t>
            </w:r>
            <w:r w:rsidR="009C74F5" w:rsidRPr="004D77F8">
              <w:t>and managing the collected data</w:t>
            </w:r>
            <w:r w:rsidR="00C3274C">
              <w:t xml:space="preserve"> </w:t>
            </w:r>
            <w:r w:rsidR="009B287F">
              <w:t xml:space="preserve">should be included: </w:t>
            </w:r>
            <w:r w:rsidR="00C3274C">
              <w:t xml:space="preserve">a part-time position could be sufficient, </w:t>
            </w:r>
            <w:r w:rsidR="009B287F">
              <w:t xml:space="preserve">with </w:t>
            </w:r>
            <w:r w:rsidR="00BC02AE">
              <w:t xml:space="preserve">personnel </w:t>
            </w:r>
            <w:r w:rsidR="009B287F">
              <w:t xml:space="preserve">managing data </w:t>
            </w:r>
            <w:r w:rsidR="00A54753">
              <w:t xml:space="preserve">collected </w:t>
            </w:r>
            <w:r w:rsidR="009B287F">
              <w:t xml:space="preserve">also on </w:t>
            </w:r>
            <w:r w:rsidR="003A1BD2">
              <w:t>other species target</w:t>
            </w:r>
            <w:r w:rsidR="00AD3268">
              <w:t>ed</w:t>
            </w:r>
            <w:r w:rsidR="003A1BD2">
              <w:t xml:space="preserve"> </w:t>
            </w:r>
            <w:r w:rsidR="00AD3268">
              <w:t>by</w:t>
            </w:r>
            <w:r w:rsidR="003A1BD2">
              <w:t xml:space="preserve"> the citizen science initiative</w:t>
            </w:r>
            <w:r w:rsidR="00A54753">
              <w:t xml:space="preserve"> (</w:t>
            </w:r>
            <w:r w:rsidR="0082240E">
              <w:t xml:space="preserve">the </w:t>
            </w:r>
            <w:r w:rsidR="00A54753">
              <w:t xml:space="preserve">cost of the position </w:t>
            </w:r>
            <w:r w:rsidR="00DF27D3">
              <w:t xml:space="preserve">depends on </w:t>
            </w:r>
            <w:r w:rsidR="00DA016E">
              <w:t>labour cost</w:t>
            </w:r>
            <w:r w:rsidR="0082240E">
              <w:t>s</w:t>
            </w:r>
            <w:r w:rsidR="008C05D1">
              <w:t xml:space="preserve"> of </w:t>
            </w:r>
            <w:r w:rsidR="0080722E">
              <w:t>Member State</w:t>
            </w:r>
            <w:r w:rsidR="008C05D1">
              <w:t>s</w:t>
            </w:r>
            <w:r w:rsidR="00F75F97">
              <w:rPr>
                <w:rStyle w:val="FootnoteReference"/>
              </w:rPr>
              <w:footnoteReference w:id="20"/>
            </w:r>
            <w:r w:rsidR="009B4EB4">
              <w:t xml:space="preserve">: in 2018, </w:t>
            </w:r>
            <w:r w:rsidR="001C418E">
              <w:t>in the EU</w:t>
            </w:r>
            <w:r w:rsidR="0072463E">
              <w:t>,</w:t>
            </w:r>
            <w:r w:rsidR="001C418E">
              <w:t xml:space="preserve"> </w:t>
            </w:r>
            <w:r w:rsidR="009B4EB4" w:rsidRPr="009B4EB4">
              <w:t xml:space="preserve">the average hourly labour cost was 27.4 </w:t>
            </w:r>
            <w:r w:rsidR="009B4EB4">
              <w:t>€</w:t>
            </w:r>
            <w:r w:rsidR="00A54753">
              <w:t>).</w:t>
            </w:r>
          </w:p>
          <w:p w14:paraId="67C37E30" w14:textId="32C231F0" w:rsidR="009C0785" w:rsidRPr="002B6463" w:rsidRDefault="009C0785" w:rsidP="00F75F97">
            <w:pPr>
              <w:pStyle w:val="NoSpacing"/>
              <w:rPr>
                <w:sz w:val="20"/>
              </w:rPr>
            </w:pPr>
          </w:p>
        </w:tc>
      </w:tr>
      <w:tr w:rsidR="00B76902" w:rsidRPr="002B6463" w14:paraId="139CC8EE" w14:textId="77777777" w:rsidTr="00BD3B76">
        <w:tc>
          <w:tcPr>
            <w:tcW w:w="3295" w:type="dxa"/>
            <w:shd w:val="clear" w:color="auto" w:fill="F2DBDB" w:themeFill="accent2" w:themeFillTint="33"/>
          </w:tcPr>
          <w:p w14:paraId="3BB32061" w14:textId="77777777" w:rsidR="00B76902" w:rsidRPr="0039672E" w:rsidRDefault="00B76902" w:rsidP="00BD3B76">
            <w:pPr>
              <w:pStyle w:val="NoSpacing"/>
              <w:rPr>
                <w:b/>
              </w:rPr>
            </w:pPr>
            <w:r w:rsidRPr="0039672E">
              <w:rPr>
                <w:b/>
              </w:rPr>
              <w:t>Side effects (incl. potential)</w:t>
            </w:r>
            <w:r>
              <w:rPr>
                <w:b/>
              </w:rPr>
              <w:t xml:space="preserve"> – both positive and negative</w:t>
            </w:r>
          </w:p>
          <w:p w14:paraId="61EDFFB4" w14:textId="77777777" w:rsidR="00B76902" w:rsidRDefault="00B76902" w:rsidP="00BD3B76">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02778DC3" w14:textId="77777777" w:rsidR="00B76902" w:rsidRDefault="00B76902" w:rsidP="00BD3B76">
            <w:pPr>
              <w:pStyle w:val="NoSpacing"/>
              <w:rPr>
                <w:b/>
              </w:rPr>
            </w:pPr>
          </w:p>
          <w:p w14:paraId="3F861E7F" w14:textId="77777777" w:rsidR="00B76902" w:rsidRPr="0039672E" w:rsidRDefault="00B76902" w:rsidP="00BD3B76">
            <w:pPr>
              <w:pStyle w:val="NoSpacing"/>
              <w:rPr>
                <w:b/>
              </w:rPr>
            </w:pPr>
            <w:r>
              <w:rPr>
                <w:sz w:val="20"/>
              </w:rPr>
              <w:lastRenderedPageBreak/>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B76902" w14:paraId="49EA542E" w14:textId="77777777" w:rsidTr="00BD3B76">
              <w:tc>
                <w:tcPr>
                  <w:tcW w:w="2116" w:type="dxa"/>
                </w:tcPr>
                <w:p w14:paraId="174CD1DF" w14:textId="77777777" w:rsidR="00B76902" w:rsidRPr="002E17F6" w:rsidRDefault="00B76902" w:rsidP="00BD3B76">
                  <w:pPr>
                    <w:pStyle w:val="NoSpacing"/>
                    <w:rPr>
                      <w:b/>
                      <w:i/>
                      <w:sz w:val="20"/>
                    </w:rPr>
                  </w:pPr>
                  <w:r w:rsidRPr="002E17F6">
                    <w:rPr>
                      <w:b/>
                      <w:i/>
                      <w:sz w:val="20"/>
                    </w:rPr>
                    <w:lastRenderedPageBreak/>
                    <w:t>Environmental</w:t>
                  </w:r>
                  <w:r>
                    <w:rPr>
                      <w:b/>
                      <w:i/>
                      <w:sz w:val="20"/>
                    </w:rPr>
                    <w:t xml:space="preserve"> effects</w:t>
                  </w:r>
                </w:p>
              </w:tc>
              <w:tc>
                <w:tcPr>
                  <w:tcW w:w="1701" w:type="dxa"/>
                </w:tcPr>
                <w:p w14:paraId="791C196C" w14:textId="77777777" w:rsidR="00B76902" w:rsidRDefault="00B76902" w:rsidP="00BD3B76">
                  <w:pPr>
                    <w:pStyle w:val="NoSpacing"/>
                    <w:jc w:val="right"/>
                    <w:rPr>
                      <w:i/>
                      <w:sz w:val="20"/>
                    </w:rPr>
                  </w:pPr>
                  <w:r>
                    <w:rPr>
                      <w:i/>
                      <w:sz w:val="20"/>
                    </w:rPr>
                    <w:t>Positive</w:t>
                  </w:r>
                </w:p>
              </w:tc>
              <w:tc>
                <w:tcPr>
                  <w:tcW w:w="425" w:type="dxa"/>
                  <w:shd w:val="clear" w:color="auto" w:fill="F2DBDB" w:themeFill="accent2" w:themeFillTint="33"/>
                </w:tcPr>
                <w:p w14:paraId="46083407" w14:textId="3670DA11" w:rsidR="00B76902" w:rsidRDefault="00081EB5" w:rsidP="00BD3B76">
                  <w:pPr>
                    <w:pStyle w:val="NoSpacing"/>
                    <w:jc w:val="right"/>
                    <w:rPr>
                      <w:i/>
                      <w:sz w:val="20"/>
                    </w:rPr>
                  </w:pPr>
                  <w:r>
                    <w:rPr>
                      <w:i/>
                      <w:sz w:val="20"/>
                    </w:rPr>
                    <w:t>X</w:t>
                  </w:r>
                </w:p>
              </w:tc>
              <w:tc>
                <w:tcPr>
                  <w:tcW w:w="2268" w:type="dxa"/>
                </w:tcPr>
                <w:p w14:paraId="43C0CAAF" w14:textId="77777777" w:rsidR="00B76902" w:rsidRDefault="00B76902" w:rsidP="00BD3B76">
                  <w:pPr>
                    <w:pStyle w:val="NoSpacing"/>
                    <w:jc w:val="right"/>
                    <w:rPr>
                      <w:i/>
                      <w:sz w:val="20"/>
                    </w:rPr>
                  </w:pPr>
                  <w:r>
                    <w:rPr>
                      <w:i/>
                      <w:sz w:val="20"/>
                    </w:rPr>
                    <w:t>Neutral or mixed</w:t>
                  </w:r>
                </w:p>
              </w:tc>
              <w:tc>
                <w:tcPr>
                  <w:tcW w:w="425" w:type="dxa"/>
                  <w:shd w:val="clear" w:color="auto" w:fill="F2DBDB" w:themeFill="accent2" w:themeFillTint="33"/>
                </w:tcPr>
                <w:p w14:paraId="562C62C1" w14:textId="7DE78E21" w:rsidR="00B76902" w:rsidRDefault="00B76902" w:rsidP="00BD3B76">
                  <w:pPr>
                    <w:pStyle w:val="NoSpacing"/>
                    <w:jc w:val="right"/>
                    <w:rPr>
                      <w:i/>
                      <w:sz w:val="20"/>
                    </w:rPr>
                  </w:pPr>
                </w:p>
              </w:tc>
              <w:tc>
                <w:tcPr>
                  <w:tcW w:w="2002" w:type="dxa"/>
                </w:tcPr>
                <w:p w14:paraId="7FD57561" w14:textId="77777777" w:rsidR="00B76902" w:rsidRDefault="00B76902" w:rsidP="00BD3B76">
                  <w:pPr>
                    <w:pStyle w:val="NoSpacing"/>
                    <w:jc w:val="right"/>
                    <w:rPr>
                      <w:i/>
                      <w:sz w:val="20"/>
                    </w:rPr>
                  </w:pPr>
                  <w:r>
                    <w:rPr>
                      <w:i/>
                      <w:sz w:val="20"/>
                    </w:rPr>
                    <w:t>Negative</w:t>
                  </w:r>
                </w:p>
              </w:tc>
              <w:tc>
                <w:tcPr>
                  <w:tcW w:w="408" w:type="dxa"/>
                  <w:shd w:val="clear" w:color="auto" w:fill="F2DBDB" w:themeFill="accent2" w:themeFillTint="33"/>
                </w:tcPr>
                <w:p w14:paraId="3B050053" w14:textId="77777777" w:rsidR="00B76902" w:rsidRDefault="00B76902" w:rsidP="00BD3B76">
                  <w:pPr>
                    <w:pStyle w:val="NoSpacing"/>
                    <w:rPr>
                      <w:i/>
                      <w:sz w:val="20"/>
                    </w:rPr>
                  </w:pPr>
                </w:p>
              </w:tc>
            </w:tr>
            <w:tr w:rsidR="00B76902" w14:paraId="08C601F4" w14:textId="77777777" w:rsidTr="00BD3B76">
              <w:tc>
                <w:tcPr>
                  <w:tcW w:w="2116" w:type="dxa"/>
                </w:tcPr>
                <w:p w14:paraId="3DAC555C" w14:textId="77777777" w:rsidR="00B76902" w:rsidRPr="002E17F6" w:rsidRDefault="00B76902" w:rsidP="00BD3B76">
                  <w:pPr>
                    <w:pStyle w:val="NoSpacing"/>
                    <w:rPr>
                      <w:b/>
                      <w:i/>
                      <w:sz w:val="20"/>
                    </w:rPr>
                  </w:pPr>
                  <w:r w:rsidRPr="002E17F6">
                    <w:rPr>
                      <w:b/>
                      <w:i/>
                      <w:sz w:val="20"/>
                    </w:rPr>
                    <w:t>Social</w:t>
                  </w:r>
                  <w:r>
                    <w:rPr>
                      <w:b/>
                      <w:i/>
                      <w:sz w:val="20"/>
                    </w:rPr>
                    <w:t xml:space="preserve"> effects</w:t>
                  </w:r>
                </w:p>
              </w:tc>
              <w:tc>
                <w:tcPr>
                  <w:tcW w:w="1701" w:type="dxa"/>
                </w:tcPr>
                <w:p w14:paraId="17536C70" w14:textId="77777777" w:rsidR="00B76902" w:rsidRDefault="00B76902" w:rsidP="00BD3B76">
                  <w:pPr>
                    <w:pStyle w:val="NoSpacing"/>
                    <w:jc w:val="right"/>
                    <w:rPr>
                      <w:i/>
                      <w:sz w:val="20"/>
                    </w:rPr>
                  </w:pPr>
                  <w:r>
                    <w:rPr>
                      <w:i/>
                      <w:sz w:val="20"/>
                    </w:rPr>
                    <w:t>Positive</w:t>
                  </w:r>
                </w:p>
              </w:tc>
              <w:tc>
                <w:tcPr>
                  <w:tcW w:w="425" w:type="dxa"/>
                  <w:shd w:val="clear" w:color="auto" w:fill="F2DBDB" w:themeFill="accent2" w:themeFillTint="33"/>
                </w:tcPr>
                <w:p w14:paraId="7673B922" w14:textId="20F55126" w:rsidR="00B76902" w:rsidRDefault="000275FB" w:rsidP="00BD3B76">
                  <w:pPr>
                    <w:pStyle w:val="NoSpacing"/>
                    <w:jc w:val="right"/>
                    <w:rPr>
                      <w:i/>
                      <w:sz w:val="20"/>
                    </w:rPr>
                  </w:pPr>
                  <w:r>
                    <w:rPr>
                      <w:i/>
                      <w:sz w:val="20"/>
                    </w:rPr>
                    <w:t>X</w:t>
                  </w:r>
                </w:p>
              </w:tc>
              <w:tc>
                <w:tcPr>
                  <w:tcW w:w="2268" w:type="dxa"/>
                </w:tcPr>
                <w:p w14:paraId="5092533F" w14:textId="77777777" w:rsidR="00B76902" w:rsidRDefault="00B76902" w:rsidP="00BD3B76">
                  <w:pPr>
                    <w:pStyle w:val="NoSpacing"/>
                    <w:jc w:val="right"/>
                    <w:rPr>
                      <w:i/>
                      <w:sz w:val="20"/>
                    </w:rPr>
                  </w:pPr>
                  <w:r>
                    <w:rPr>
                      <w:i/>
                      <w:sz w:val="20"/>
                    </w:rPr>
                    <w:t>Neutral or mixed</w:t>
                  </w:r>
                </w:p>
              </w:tc>
              <w:tc>
                <w:tcPr>
                  <w:tcW w:w="425" w:type="dxa"/>
                  <w:shd w:val="clear" w:color="auto" w:fill="F2DBDB" w:themeFill="accent2" w:themeFillTint="33"/>
                </w:tcPr>
                <w:p w14:paraId="18908882" w14:textId="77C09992" w:rsidR="00B76902" w:rsidRDefault="00B76902" w:rsidP="00BD3B76">
                  <w:pPr>
                    <w:pStyle w:val="NoSpacing"/>
                    <w:jc w:val="right"/>
                    <w:rPr>
                      <w:i/>
                      <w:sz w:val="20"/>
                    </w:rPr>
                  </w:pPr>
                </w:p>
              </w:tc>
              <w:tc>
                <w:tcPr>
                  <w:tcW w:w="2002" w:type="dxa"/>
                </w:tcPr>
                <w:p w14:paraId="7BD196EC" w14:textId="77777777" w:rsidR="00B76902" w:rsidRDefault="00B76902" w:rsidP="00BD3B76">
                  <w:pPr>
                    <w:pStyle w:val="NoSpacing"/>
                    <w:jc w:val="right"/>
                    <w:rPr>
                      <w:i/>
                      <w:sz w:val="20"/>
                    </w:rPr>
                  </w:pPr>
                  <w:r>
                    <w:rPr>
                      <w:i/>
                      <w:sz w:val="20"/>
                    </w:rPr>
                    <w:t>Negative</w:t>
                  </w:r>
                </w:p>
              </w:tc>
              <w:tc>
                <w:tcPr>
                  <w:tcW w:w="408" w:type="dxa"/>
                  <w:shd w:val="clear" w:color="auto" w:fill="F2DBDB" w:themeFill="accent2" w:themeFillTint="33"/>
                </w:tcPr>
                <w:p w14:paraId="3297E8AD" w14:textId="77777777" w:rsidR="00B76902" w:rsidRDefault="00B76902" w:rsidP="00BD3B76">
                  <w:pPr>
                    <w:pStyle w:val="NoSpacing"/>
                    <w:rPr>
                      <w:i/>
                      <w:sz w:val="20"/>
                    </w:rPr>
                  </w:pPr>
                </w:p>
              </w:tc>
            </w:tr>
            <w:tr w:rsidR="00B76902" w14:paraId="4C7DE77B" w14:textId="77777777" w:rsidTr="00BD3B76">
              <w:tc>
                <w:tcPr>
                  <w:tcW w:w="2116" w:type="dxa"/>
                </w:tcPr>
                <w:p w14:paraId="2F459D99" w14:textId="77777777" w:rsidR="00B76902" w:rsidRPr="002E17F6" w:rsidRDefault="00B76902" w:rsidP="00BD3B76">
                  <w:pPr>
                    <w:pStyle w:val="NoSpacing"/>
                    <w:rPr>
                      <w:b/>
                      <w:i/>
                      <w:sz w:val="20"/>
                    </w:rPr>
                  </w:pPr>
                  <w:r w:rsidRPr="002E17F6">
                    <w:rPr>
                      <w:b/>
                      <w:i/>
                      <w:sz w:val="20"/>
                    </w:rPr>
                    <w:t>Economic</w:t>
                  </w:r>
                  <w:r>
                    <w:rPr>
                      <w:b/>
                      <w:i/>
                      <w:sz w:val="20"/>
                    </w:rPr>
                    <w:t xml:space="preserve"> effects</w:t>
                  </w:r>
                </w:p>
              </w:tc>
              <w:tc>
                <w:tcPr>
                  <w:tcW w:w="1701" w:type="dxa"/>
                </w:tcPr>
                <w:p w14:paraId="1CBBB3A7" w14:textId="77777777" w:rsidR="00B76902" w:rsidRDefault="00B76902" w:rsidP="00BD3B76">
                  <w:pPr>
                    <w:pStyle w:val="NoSpacing"/>
                    <w:jc w:val="right"/>
                    <w:rPr>
                      <w:i/>
                      <w:sz w:val="20"/>
                    </w:rPr>
                  </w:pPr>
                  <w:r>
                    <w:rPr>
                      <w:i/>
                      <w:sz w:val="20"/>
                    </w:rPr>
                    <w:t>Positive</w:t>
                  </w:r>
                </w:p>
              </w:tc>
              <w:tc>
                <w:tcPr>
                  <w:tcW w:w="425" w:type="dxa"/>
                  <w:shd w:val="clear" w:color="auto" w:fill="F2DBDB" w:themeFill="accent2" w:themeFillTint="33"/>
                </w:tcPr>
                <w:p w14:paraId="67E7C291" w14:textId="77777777" w:rsidR="00B76902" w:rsidRDefault="00B76902" w:rsidP="00BD3B76">
                  <w:pPr>
                    <w:pStyle w:val="NoSpacing"/>
                    <w:jc w:val="right"/>
                    <w:rPr>
                      <w:i/>
                      <w:sz w:val="20"/>
                    </w:rPr>
                  </w:pPr>
                </w:p>
              </w:tc>
              <w:tc>
                <w:tcPr>
                  <w:tcW w:w="2268" w:type="dxa"/>
                </w:tcPr>
                <w:p w14:paraId="412017A8" w14:textId="77777777" w:rsidR="00B76902" w:rsidRDefault="00B76902" w:rsidP="00BD3B76">
                  <w:pPr>
                    <w:pStyle w:val="NoSpacing"/>
                    <w:jc w:val="right"/>
                    <w:rPr>
                      <w:i/>
                      <w:sz w:val="20"/>
                    </w:rPr>
                  </w:pPr>
                  <w:r>
                    <w:rPr>
                      <w:i/>
                      <w:sz w:val="20"/>
                    </w:rPr>
                    <w:t>Neutral or mixed</w:t>
                  </w:r>
                </w:p>
              </w:tc>
              <w:tc>
                <w:tcPr>
                  <w:tcW w:w="425" w:type="dxa"/>
                  <w:shd w:val="clear" w:color="auto" w:fill="F2DBDB" w:themeFill="accent2" w:themeFillTint="33"/>
                </w:tcPr>
                <w:p w14:paraId="07385FDA" w14:textId="4F862A66" w:rsidR="00B76902" w:rsidRDefault="00794178" w:rsidP="00BD3B76">
                  <w:pPr>
                    <w:pStyle w:val="NoSpacing"/>
                    <w:jc w:val="right"/>
                    <w:rPr>
                      <w:i/>
                      <w:sz w:val="20"/>
                    </w:rPr>
                  </w:pPr>
                  <w:r>
                    <w:rPr>
                      <w:i/>
                      <w:sz w:val="20"/>
                    </w:rPr>
                    <w:t>X</w:t>
                  </w:r>
                </w:p>
              </w:tc>
              <w:tc>
                <w:tcPr>
                  <w:tcW w:w="2002" w:type="dxa"/>
                </w:tcPr>
                <w:p w14:paraId="18C1DD2E" w14:textId="77777777" w:rsidR="00B76902" w:rsidRDefault="00B76902" w:rsidP="00BD3B76">
                  <w:pPr>
                    <w:pStyle w:val="NoSpacing"/>
                    <w:jc w:val="right"/>
                    <w:rPr>
                      <w:i/>
                      <w:sz w:val="20"/>
                    </w:rPr>
                  </w:pPr>
                  <w:r>
                    <w:rPr>
                      <w:i/>
                      <w:sz w:val="20"/>
                    </w:rPr>
                    <w:t>Negative</w:t>
                  </w:r>
                </w:p>
              </w:tc>
              <w:tc>
                <w:tcPr>
                  <w:tcW w:w="408" w:type="dxa"/>
                  <w:shd w:val="clear" w:color="auto" w:fill="F2DBDB" w:themeFill="accent2" w:themeFillTint="33"/>
                </w:tcPr>
                <w:p w14:paraId="604EDCEA" w14:textId="77777777" w:rsidR="00B76902" w:rsidRDefault="00B76902" w:rsidP="00BD3B76">
                  <w:pPr>
                    <w:pStyle w:val="NoSpacing"/>
                    <w:rPr>
                      <w:i/>
                      <w:sz w:val="20"/>
                    </w:rPr>
                  </w:pPr>
                </w:p>
              </w:tc>
            </w:tr>
          </w:tbl>
          <w:p w14:paraId="152637CC" w14:textId="77777777" w:rsidR="00B76902" w:rsidRDefault="00B76902" w:rsidP="00BD3B76">
            <w:pPr>
              <w:pStyle w:val="NoSpacing"/>
              <w:rPr>
                <w:i/>
                <w:sz w:val="20"/>
              </w:rPr>
            </w:pPr>
          </w:p>
          <w:p w14:paraId="763745FA" w14:textId="77777777" w:rsidR="00B76902" w:rsidRDefault="00B76902" w:rsidP="00BD3B76">
            <w:pPr>
              <w:pStyle w:val="NoSpacing"/>
              <w:rPr>
                <w:sz w:val="20"/>
              </w:rPr>
            </w:pPr>
            <w:r w:rsidRPr="00C856F5">
              <w:rPr>
                <w:i/>
                <w:sz w:val="20"/>
              </w:rPr>
              <w:t>Rationale</w:t>
            </w:r>
            <w:r>
              <w:rPr>
                <w:sz w:val="20"/>
              </w:rPr>
              <w:t>:</w:t>
            </w:r>
          </w:p>
          <w:p w14:paraId="418482DA" w14:textId="37449262" w:rsidR="00B76902" w:rsidRPr="002B6463" w:rsidRDefault="00497520" w:rsidP="00C73542">
            <w:pPr>
              <w:pStyle w:val="NoSpacing"/>
              <w:rPr>
                <w:sz w:val="20"/>
              </w:rPr>
            </w:pPr>
            <w:r w:rsidRPr="004D77F8">
              <w:lastRenderedPageBreak/>
              <w:t>There are no negative effects of this measure. As positive consequences, c</w:t>
            </w:r>
            <w:r w:rsidR="00394FE2" w:rsidRPr="004D77F8">
              <w:t xml:space="preserve">itizen </w:t>
            </w:r>
            <w:r w:rsidRPr="004D77F8">
              <w:t>s</w:t>
            </w:r>
            <w:r w:rsidR="00394FE2" w:rsidRPr="004D77F8">
              <w:t>cience can play a significant role in public engagement, improved education and public awareness, and is recogni</w:t>
            </w:r>
            <w:r w:rsidR="00C73542">
              <w:t>s</w:t>
            </w:r>
            <w:r w:rsidR="00394FE2" w:rsidRPr="004D77F8">
              <w:t>ed as fundamental to the attainment of the objectives of alien species policies (Roy et al., 2018).</w:t>
            </w:r>
            <w:r w:rsidRPr="004D77F8">
              <w:t xml:space="preserve"> Moreover, new alien or native species can be detected.</w:t>
            </w:r>
          </w:p>
        </w:tc>
      </w:tr>
      <w:tr w:rsidR="00B76902" w:rsidRPr="00C75EDD" w14:paraId="2861D931" w14:textId="77777777" w:rsidTr="00BD3B76">
        <w:tc>
          <w:tcPr>
            <w:tcW w:w="3295" w:type="dxa"/>
            <w:shd w:val="clear" w:color="auto" w:fill="F2DBDB" w:themeFill="accent2" w:themeFillTint="33"/>
          </w:tcPr>
          <w:p w14:paraId="00D4FCE0" w14:textId="77777777" w:rsidR="00B76902" w:rsidRPr="0039672E" w:rsidRDefault="00B76902" w:rsidP="00BD3B76">
            <w:pPr>
              <w:pStyle w:val="NoSpacing"/>
              <w:rPr>
                <w:b/>
              </w:rPr>
            </w:pPr>
            <w:r w:rsidRPr="0039672E">
              <w:rPr>
                <w:b/>
              </w:rPr>
              <w:lastRenderedPageBreak/>
              <w:t>Acceptability to stakeholders</w:t>
            </w:r>
          </w:p>
          <w:p w14:paraId="05F5C983" w14:textId="77777777" w:rsidR="00B76902" w:rsidRDefault="00B76902" w:rsidP="00BD3B76">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4140598B" w14:textId="77777777" w:rsidR="00B76902" w:rsidRDefault="00B76902" w:rsidP="00BD3B76">
            <w:pPr>
              <w:pStyle w:val="NoSpacing"/>
              <w:rPr>
                <w:sz w:val="20"/>
              </w:rPr>
            </w:pPr>
          </w:p>
          <w:p w14:paraId="5CB7FC40" w14:textId="77777777" w:rsidR="00B76902" w:rsidRPr="002B6463" w:rsidRDefault="00B76902" w:rsidP="00BD3B76">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B76902" w14:paraId="03ADB050" w14:textId="77777777" w:rsidTr="00BD3B76">
              <w:tc>
                <w:tcPr>
                  <w:tcW w:w="2116" w:type="dxa"/>
                </w:tcPr>
                <w:p w14:paraId="1954FA2B" w14:textId="77777777" w:rsidR="00B76902" w:rsidRPr="002E17F6" w:rsidRDefault="00B76902" w:rsidP="00BD3B76">
                  <w:pPr>
                    <w:pStyle w:val="NoSpacing"/>
                    <w:rPr>
                      <w:b/>
                      <w:i/>
                      <w:sz w:val="20"/>
                    </w:rPr>
                  </w:pPr>
                  <w:r w:rsidRPr="002E17F6">
                    <w:rPr>
                      <w:b/>
                      <w:i/>
                      <w:sz w:val="20"/>
                    </w:rPr>
                    <w:t>Acceptability to stakeholders</w:t>
                  </w:r>
                </w:p>
              </w:tc>
              <w:tc>
                <w:tcPr>
                  <w:tcW w:w="1701" w:type="dxa"/>
                </w:tcPr>
                <w:p w14:paraId="6C0E1212" w14:textId="77777777" w:rsidR="00B76902" w:rsidRDefault="00B76902" w:rsidP="00BD3B76">
                  <w:pPr>
                    <w:pStyle w:val="NoSpacing"/>
                    <w:jc w:val="right"/>
                    <w:rPr>
                      <w:i/>
                      <w:sz w:val="20"/>
                    </w:rPr>
                  </w:pPr>
                  <w:r>
                    <w:rPr>
                      <w:i/>
                      <w:sz w:val="20"/>
                    </w:rPr>
                    <w:t>Acceptable</w:t>
                  </w:r>
                </w:p>
              </w:tc>
              <w:tc>
                <w:tcPr>
                  <w:tcW w:w="425" w:type="dxa"/>
                  <w:shd w:val="clear" w:color="auto" w:fill="F2DBDB" w:themeFill="accent2" w:themeFillTint="33"/>
                </w:tcPr>
                <w:p w14:paraId="72D81D32" w14:textId="7224956A" w:rsidR="00B76902" w:rsidRDefault="00DF75F4" w:rsidP="00BD3B76">
                  <w:pPr>
                    <w:pStyle w:val="NoSpacing"/>
                    <w:jc w:val="right"/>
                    <w:rPr>
                      <w:i/>
                      <w:sz w:val="20"/>
                    </w:rPr>
                  </w:pPr>
                  <w:r>
                    <w:rPr>
                      <w:i/>
                      <w:sz w:val="20"/>
                    </w:rPr>
                    <w:t>X</w:t>
                  </w:r>
                </w:p>
              </w:tc>
              <w:tc>
                <w:tcPr>
                  <w:tcW w:w="2268" w:type="dxa"/>
                </w:tcPr>
                <w:p w14:paraId="67E4ED4A" w14:textId="77777777" w:rsidR="00B76902" w:rsidRDefault="00B76902" w:rsidP="00BD3B76">
                  <w:pPr>
                    <w:pStyle w:val="NoSpacing"/>
                    <w:jc w:val="right"/>
                    <w:rPr>
                      <w:i/>
                      <w:sz w:val="20"/>
                    </w:rPr>
                  </w:pPr>
                  <w:r>
                    <w:rPr>
                      <w:i/>
                      <w:sz w:val="20"/>
                    </w:rPr>
                    <w:t>Neutral or mixed</w:t>
                  </w:r>
                </w:p>
              </w:tc>
              <w:tc>
                <w:tcPr>
                  <w:tcW w:w="425" w:type="dxa"/>
                  <w:shd w:val="clear" w:color="auto" w:fill="F2DBDB" w:themeFill="accent2" w:themeFillTint="33"/>
                </w:tcPr>
                <w:p w14:paraId="54701FE6" w14:textId="77777777" w:rsidR="00B76902" w:rsidRDefault="00B76902" w:rsidP="00BD3B76">
                  <w:pPr>
                    <w:pStyle w:val="NoSpacing"/>
                    <w:jc w:val="right"/>
                    <w:rPr>
                      <w:i/>
                      <w:sz w:val="20"/>
                    </w:rPr>
                  </w:pPr>
                </w:p>
              </w:tc>
              <w:tc>
                <w:tcPr>
                  <w:tcW w:w="2002" w:type="dxa"/>
                </w:tcPr>
                <w:p w14:paraId="6C84A999" w14:textId="77777777" w:rsidR="00B76902" w:rsidRDefault="00B76902" w:rsidP="00BD3B76">
                  <w:pPr>
                    <w:pStyle w:val="NoSpacing"/>
                    <w:jc w:val="right"/>
                    <w:rPr>
                      <w:i/>
                      <w:sz w:val="20"/>
                    </w:rPr>
                  </w:pPr>
                  <w:r>
                    <w:rPr>
                      <w:i/>
                      <w:sz w:val="20"/>
                    </w:rPr>
                    <w:t>Unacceptable</w:t>
                  </w:r>
                </w:p>
              </w:tc>
              <w:tc>
                <w:tcPr>
                  <w:tcW w:w="408" w:type="dxa"/>
                  <w:shd w:val="clear" w:color="auto" w:fill="F2DBDB" w:themeFill="accent2" w:themeFillTint="33"/>
                </w:tcPr>
                <w:p w14:paraId="386B33C4" w14:textId="77777777" w:rsidR="00B76902" w:rsidRDefault="00B76902" w:rsidP="00BD3B76">
                  <w:pPr>
                    <w:pStyle w:val="NoSpacing"/>
                    <w:rPr>
                      <w:i/>
                      <w:sz w:val="20"/>
                    </w:rPr>
                  </w:pPr>
                </w:p>
              </w:tc>
            </w:tr>
          </w:tbl>
          <w:p w14:paraId="395192D4" w14:textId="77777777" w:rsidR="00B76902" w:rsidRDefault="00B76902" w:rsidP="00BD3B76">
            <w:pPr>
              <w:pStyle w:val="NoSpacing"/>
              <w:rPr>
                <w:i/>
                <w:sz w:val="20"/>
              </w:rPr>
            </w:pPr>
          </w:p>
          <w:p w14:paraId="097A977A" w14:textId="77777777" w:rsidR="00B76902" w:rsidRDefault="00B76902" w:rsidP="00BD3B76">
            <w:pPr>
              <w:pStyle w:val="NoSpacing"/>
              <w:rPr>
                <w:sz w:val="20"/>
              </w:rPr>
            </w:pPr>
            <w:r w:rsidRPr="00C856F5">
              <w:rPr>
                <w:i/>
                <w:sz w:val="20"/>
              </w:rPr>
              <w:t>Rationale</w:t>
            </w:r>
            <w:r>
              <w:rPr>
                <w:sz w:val="20"/>
              </w:rPr>
              <w:t>:</w:t>
            </w:r>
          </w:p>
          <w:p w14:paraId="3F11C93C" w14:textId="064D98A6" w:rsidR="00B76902" w:rsidRPr="00C75EDD" w:rsidRDefault="00AC64F6" w:rsidP="00BD3B76">
            <w:pPr>
              <w:pStyle w:val="NoSpacing"/>
              <w:rPr>
                <w:sz w:val="20"/>
              </w:rPr>
            </w:pPr>
            <w:r w:rsidRPr="004D77F8">
              <w:t>The measure does not encounter any resistance.</w:t>
            </w:r>
          </w:p>
        </w:tc>
      </w:tr>
      <w:tr w:rsidR="00B76902" w14:paraId="1E16EEE4" w14:textId="77777777" w:rsidTr="00BD3B76">
        <w:tc>
          <w:tcPr>
            <w:tcW w:w="3295" w:type="dxa"/>
            <w:shd w:val="clear" w:color="auto" w:fill="F2DBDB" w:themeFill="accent2" w:themeFillTint="33"/>
          </w:tcPr>
          <w:p w14:paraId="4CD5F0D6" w14:textId="77777777" w:rsidR="00B76902" w:rsidRPr="0039672E" w:rsidRDefault="00B76902" w:rsidP="00BD3B76">
            <w:pPr>
              <w:pStyle w:val="NoSpacing"/>
              <w:rPr>
                <w:b/>
              </w:rPr>
            </w:pPr>
            <w:r w:rsidRPr="0039672E">
              <w:rPr>
                <w:b/>
              </w:rPr>
              <w:t>Additional cost information</w:t>
            </w:r>
            <w:r>
              <w:rPr>
                <w:b/>
              </w:rPr>
              <w:t xml:space="preserve"> </w:t>
            </w:r>
            <w:r>
              <w:rPr>
                <w:b/>
                <w:vertAlign w:val="superscript"/>
              </w:rPr>
              <w:t>1</w:t>
            </w:r>
          </w:p>
          <w:p w14:paraId="468518E2" w14:textId="77777777" w:rsidR="00B76902" w:rsidRDefault="00B76902" w:rsidP="00BD3B76">
            <w:pPr>
              <w:rPr>
                <w:sz w:val="20"/>
              </w:rPr>
            </w:pPr>
            <w:r>
              <w:rPr>
                <w:sz w:val="20"/>
              </w:rPr>
              <w:t xml:space="preserve">When not already included above, or in the species Risk Assessment. </w:t>
            </w:r>
          </w:p>
          <w:p w14:paraId="7B187974" w14:textId="77777777" w:rsidR="00B76902" w:rsidRPr="00E662A4" w:rsidRDefault="00B76902" w:rsidP="00BD3B76">
            <w:pPr>
              <w:rPr>
                <w:sz w:val="20"/>
              </w:rPr>
            </w:pPr>
            <w:r>
              <w:rPr>
                <w:sz w:val="20"/>
              </w:rPr>
              <w:t xml:space="preserve">- </w:t>
            </w:r>
            <w:r w:rsidRPr="00E662A4">
              <w:rPr>
                <w:sz w:val="20"/>
              </w:rPr>
              <w:t>implementation cost for Member States</w:t>
            </w:r>
          </w:p>
          <w:p w14:paraId="74F851CC" w14:textId="77777777" w:rsidR="00B76902" w:rsidRPr="00E662A4" w:rsidRDefault="00B76902" w:rsidP="00BD3B76">
            <w:pPr>
              <w:rPr>
                <w:sz w:val="20"/>
              </w:rPr>
            </w:pPr>
            <w:r>
              <w:rPr>
                <w:sz w:val="20"/>
              </w:rPr>
              <w:t xml:space="preserve">- </w:t>
            </w:r>
            <w:r w:rsidRPr="00E662A4">
              <w:rPr>
                <w:sz w:val="20"/>
              </w:rPr>
              <w:t>the cost of inaction</w:t>
            </w:r>
          </w:p>
          <w:p w14:paraId="7566E648" w14:textId="77777777" w:rsidR="00B76902" w:rsidRPr="00E662A4" w:rsidRDefault="00B76902" w:rsidP="00BD3B76">
            <w:pPr>
              <w:rPr>
                <w:sz w:val="20"/>
              </w:rPr>
            </w:pPr>
            <w:r>
              <w:rPr>
                <w:sz w:val="20"/>
              </w:rPr>
              <w:t xml:space="preserve">- </w:t>
            </w:r>
            <w:r w:rsidRPr="00E662A4">
              <w:rPr>
                <w:sz w:val="20"/>
              </w:rPr>
              <w:t>the cost-effectiveness</w:t>
            </w:r>
          </w:p>
          <w:p w14:paraId="079D5D02" w14:textId="77777777" w:rsidR="00B76902" w:rsidRDefault="00B76902" w:rsidP="00BD3B76">
            <w:pPr>
              <w:pStyle w:val="NoSpacing"/>
              <w:rPr>
                <w:sz w:val="20"/>
              </w:rPr>
            </w:pPr>
            <w:r>
              <w:rPr>
                <w:sz w:val="20"/>
              </w:rPr>
              <w:t xml:space="preserve">- </w:t>
            </w:r>
            <w:r w:rsidRPr="00E662A4">
              <w:rPr>
                <w:sz w:val="20"/>
              </w:rPr>
              <w:t>the socio-economic aspects</w:t>
            </w:r>
          </w:p>
          <w:p w14:paraId="3B05CB27" w14:textId="77777777" w:rsidR="00B76902" w:rsidRDefault="00B76902" w:rsidP="00BD3B76">
            <w:pPr>
              <w:pStyle w:val="NoSpacing"/>
              <w:rPr>
                <w:sz w:val="20"/>
              </w:rPr>
            </w:pPr>
          </w:p>
          <w:p w14:paraId="684F5E33" w14:textId="77777777" w:rsidR="00B76902" w:rsidRPr="002B6463" w:rsidRDefault="00B76902" w:rsidP="00BD3B76">
            <w:pPr>
              <w:pStyle w:val="NoSpacing"/>
              <w:rPr>
                <w:sz w:val="20"/>
              </w:rPr>
            </w:pPr>
            <w:r>
              <w:rPr>
                <w:sz w:val="20"/>
              </w:rPr>
              <w:t>Include quantitative &amp;/or qualitative data, and case studies (incl. from countries outside the EU).</w:t>
            </w:r>
          </w:p>
        </w:tc>
        <w:tc>
          <w:tcPr>
            <w:tcW w:w="10653" w:type="dxa"/>
          </w:tcPr>
          <w:p w14:paraId="47DDABDC" w14:textId="3CC705BB" w:rsidR="00B76902" w:rsidRDefault="0025052C" w:rsidP="00BD3B76">
            <w:pPr>
              <w:pStyle w:val="NoSpacing"/>
              <w:rPr>
                <w:sz w:val="20"/>
              </w:rPr>
            </w:pPr>
            <w:r w:rsidRPr="004D77F8">
              <w:t xml:space="preserve">This measure is very cost effective, </w:t>
            </w:r>
            <w:r w:rsidR="00660BB8" w:rsidRPr="004D77F8">
              <w:t xml:space="preserve">the method is very friendly and appreciated by the public, </w:t>
            </w:r>
            <w:r w:rsidRPr="004D77F8">
              <w:t>thus the cost of inaction would be high.</w:t>
            </w:r>
          </w:p>
        </w:tc>
      </w:tr>
      <w:tr w:rsidR="00B76902" w:rsidRPr="002B6463" w14:paraId="2F6912BD" w14:textId="77777777" w:rsidTr="00BD3B76">
        <w:tc>
          <w:tcPr>
            <w:tcW w:w="3295" w:type="dxa"/>
            <w:tcBorders>
              <w:bottom w:val="single" w:sz="4" w:space="0" w:color="auto"/>
            </w:tcBorders>
            <w:shd w:val="clear" w:color="auto" w:fill="F2DBDB" w:themeFill="accent2" w:themeFillTint="33"/>
          </w:tcPr>
          <w:p w14:paraId="70D75DBE" w14:textId="77777777" w:rsidR="00B76902" w:rsidRDefault="00B76902" w:rsidP="00BD3B76">
            <w:pPr>
              <w:pStyle w:val="NoSpacing"/>
              <w:rPr>
                <w:b/>
              </w:rPr>
            </w:pPr>
            <w:r w:rsidRPr="002B6463">
              <w:rPr>
                <w:b/>
              </w:rPr>
              <w:t>Level of confidence</w:t>
            </w:r>
            <w:r>
              <w:rPr>
                <w:b/>
              </w:rPr>
              <w:t xml:space="preserve"> on the information provided </w:t>
            </w:r>
            <w:r>
              <w:rPr>
                <w:b/>
                <w:vertAlign w:val="superscript"/>
              </w:rPr>
              <w:t>2</w:t>
            </w:r>
          </w:p>
          <w:p w14:paraId="113435B7" w14:textId="77777777" w:rsidR="00B76902" w:rsidRDefault="00B76902" w:rsidP="00BD3B76">
            <w:pPr>
              <w:pStyle w:val="NoSpacing"/>
              <w:rPr>
                <w:rFonts w:eastAsia="Times New Roman" w:cstheme="minorHAnsi"/>
                <w:b/>
                <w:sz w:val="20"/>
                <w:szCs w:val="20"/>
              </w:rPr>
            </w:pPr>
          </w:p>
          <w:p w14:paraId="1AFD7258" w14:textId="77777777" w:rsidR="00B76902" w:rsidRPr="00DE32F5" w:rsidRDefault="00B76902" w:rsidP="00BD3B76">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08184AAD" w14:textId="77777777" w:rsidR="00B76902" w:rsidRDefault="00B76902" w:rsidP="00BD3B76">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B76902" w14:paraId="2C9C279F" w14:textId="77777777" w:rsidTr="00BD3B76">
              <w:tc>
                <w:tcPr>
                  <w:tcW w:w="2024" w:type="dxa"/>
                </w:tcPr>
                <w:p w14:paraId="26F584DF" w14:textId="77777777" w:rsidR="00B76902" w:rsidRPr="007C64EE" w:rsidRDefault="00B76902" w:rsidP="00BD3B76">
                  <w:pPr>
                    <w:pStyle w:val="NoSpacing"/>
                    <w:rPr>
                      <w:i/>
                      <w:sz w:val="20"/>
                    </w:rPr>
                  </w:pPr>
                  <w:r>
                    <w:rPr>
                      <w:i/>
                      <w:sz w:val="20"/>
                    </w:rPr>
                    <w:t>Inconclusive</w:t>
                  </w:r>
                </w:p>
              </w:tc>
              <w:tc>
                <w:tcPr>
                  <w:tcW w:w="375" w:type="dxa"/>
                  <w:shd w:val="clear" w:color="auto" w:fill="F2DBDB" w:themeFill="accent2" w:themeFillTint="33"/>
                </w:tcPr>
                <w:p w14:paraId="33F7376E" w14:textId="77777777" w:rsidR="00B76902" w:rsidRDefault="00B76902" w:rsidP="00BD3B76">
                  <w:pPr>
                    <w:pStyle w:val="NoSpacing"/>
                    <w:jc w:val="right"/>
                    <w:rPr>
                      <w:i/>
                      <w:sz w:val="20"/>
                    </w:rPr>
                  </w:pPr>
                </w:p>
              </w:tc>
              <w:tc>
                <w:tcPr>
                  <w:tcW w:w="1559" w:type="dxa"/>
                </w:tcPr>
                <w:p w14:paraId="2E163753" w14:textId="77777777" w:rsidR="00B76902" w:rsidRDefault="00B76902" w:rsidP="00BD3B76">
                  <w:pPr>
                    <w:pStyle w:val="NoSpacing"/>
                    <w:jc w:val="right"/>
                    <w:rPr>
                      <w:i/>
                      <w:sz w:val="20"/>
                    </w:rPr>
                  </w:pPr>
                  <w:r>
                    <w:rPr>
                      <w:i/>
                      <w:sz w:val="20"/>
                    </w:rPr>
                    <w:t>Unresolved</w:t>
                  </w:r>
                </w:p>
              </w:tc>
              <w:tc>
                <w:tcPr>
                  <w:tcW w:w="426" w:type="dxa"/>
                  <w:shd w:val="clear" w:color="auto" w:fill="F2DBDB" w:themeFill="accent2" w:themeFillTint="33"/>
                </w:tcPr>
                <w:p w14:paraId="2555461E" w14:textId="77777777" w:rsidR="00B76902" w:rsidRDefault="00B76902" w:rsidP="00BD3B76">
                  <w:pPr>
                    <w:pStyle w:val="NoSpacing"/>
                    <w:jc w:val="right"/>
                    <w:rPr>
                      <w:i/>
                      <w:sz w:val="20"/>
                    </w:rPr>
                  </w:pPr>
                </w:p>
              </w:tc>
              <w:tc>
                <w:tcPr>
                  <w:tcW w:w="2126" w:type="dxa"/>
                </w:tcPr>
                <w:p w14:paraId="536FB401" w14:textId="77777777" w:rsidR="00B76902" w:rsidRDefault="00B76902" w:rsidP="00BD3B76">
                  <w:pPr>
                    <w:pStyle w:val="NoSpacing"/>
                    <w:jc w:val="right"/>
                    <w:rPr>
                      <w:i/>
                      <w:sz w:val="20"/>
                    </w:rPr>
                  </w:pPr>
                  <w:r>
                    <w:rPr>
                      <w:i/>
                      <w:sz w:val="20"/>
                    </w:rPr>
                    <w:t>Established but incomplete</w:t>
                  </w:r>
                </w:p>
              </w:tc>
              <w:tc>
                <w:tcPr>
                  <w:tcW w:w="425" w:type="dxa"/>
                  <w:shd w:val="clear" w:color="auto" w:fill="F2DBDB" w:themeFill="accent2" w:themeFillTint="33"/>
                </w:tcPr>
                <w:p w14:paraId="7F5972A9" w14:textId="77777777" w:rsidR="00B76902" w:rsidRDefault="00B76902" w:rsidP="00BD3B76">
                  <w:pPr>
                    <w:pStyle w:val="NoSpacing"/>
                    <w:jc w:val="right"/>
                    <w:rPr>
                      <w:i/>
                      <w:sz w:val="20"/>
                    </w:rPr>
                  </w:pPr>
                </w:p>
              </w:tc>
              <w:tc>
                <w:tcPr>
                  <w:tcW w:w="2268" w:type="dxa"/>
                </w:tcPr>
                <w:p w14:paraId="2590B79B" w14:textId="77777777" w:rsidR="00B76902" w:rsidRDefault="00B76902" w:rsidP="00BD3B76">
                  <w:pPr>
                    <w:pStyle w:val="NoSpacing"/>
                    <w:jc w:val="right"/>
                    <w:rPr>
                      <w:i/>
                      <w:sz w:val="20"/>
                    </w:rPr>
                  </w:pPr>
                  <w:r>
                    <w:rPr>
                      <w:i/>
                      <w:sz w:val="20"/>
                    </w:rPr>
                    <w:t>Well established</w:t>
                  </w:r>
                </w:p>
              </w:tc>
              <w:tc>
                <w:tcPr>
                  <w:tcW w:w="425" w:type="dxa"/>
                  <w:shd w:val="clear" w:color="auto" w:fill="F2DBDB" w:themeFill="accent2" w:themeFillTint="33"/>
                </w:tcPr>
                <w:p w14:paraId="3BE072AD" w14:textId="0B3387B6" w:rsidR="00B76902" w:rsidRDefault="00DF75F4" w:rsidP="00BD3B76">
                  <w:pPr>
                    <w:pStyle w:val="NoSpacing"/>
                    <w:rPr>
                      <w:i/>
                      <w:sz w:val="20"/>
                    </w:rPr>
                  </w:pPr>
                  <w:r>
                    <w:rPr>
                      <w:i/>
                      <w:sz w:val="20"/>
                    </w:rPr>
                    <w:t>X</w:t>
                  </w:r>
                </w:p>
              </w:tc>
            </w:tr>
          </w:tbl>
          <w:p w14:paraId="7DA8D141" w14:textId="77777777" w:rsidR="00B76902" w:rsidRDefault="00B76902" w:rsidP="00BD3B76">
            <w:pPr>
              <w:pStyle w:val="NoSpacing"/>
              <w:rPr>
                <w:i/>
                <w:sz w:val="20"/>
              </w:rPr>
            </w:pPr>
          </w:p>
          <w:p w14:paraId="5070AA4A" w14:textId="77777777" w:rsidR="00B76902" w:rsidRDefault="00B76902" w:rsidP="00BD3B76">
            <w:pPr>
              <w:pStyle w:val="NoSpacing"/>
              <w:rPr>
                <w:sz w:val="20"/>
              </w:rPr>
            </w:pPr>
            <w:r w:rsidRPr="00C856F5">
              <w:rPr>
                <w:i/>
                <w:sz w:val="20"/>
              </w:rPr>
              <w:t>Rationale</w:t>
            </w:r>
            <w:r>
              <w:rPr>
                <w:sz w:val="20"/>
              </w:rPr>
              <w:t>:</w:t>
            </w:r>
          </w:p>
          <w:p w14:paraId="0D41C682" w14:textId="7A29C958" w:rsidR="00B76902" w:rsidRPr="00C76A64" w:rsidRDefault="0025052C" w:rsidP="00C73542">
            <w:pPr>
              <w:pStyle w:val="NoSpacing"/>
              <w:rPr>
                <w:sz w:val="20"/>
                <w:szCs w:val="20"/>
              </w:rPr>
            </w:pPr>
            <w:r w:rsidRPr="004D77F8">
              <w:rPr>
                <w:szCs w:val="20"/>
              </w:rPr>
              <w:t xml:space="preserve">The importance of citizen science </w:t>
            </w:r>
            <w:r w:rsidR="00C76A64" w:rsidRPr="004D77F8">
              <w:rPr>
                <w:szCs w:val="20"/>
              </w:rPr>
              <w:t>program</w:t>
            </w:r>
            <w:r w:rsidR="00C73542">
              <w:rPr>
                <w:szCs w:val="20"/>
              </w:rPr>
              <w:t>s</w:t>
            </w:r>
            <w:r w:rsidR="00C76A64" w:rsidRPr="004D77F8">
              <w:rPr>
                <w:szCs w:val="20"/>
              </w:rPr>
              <w:t xml:space="preserve"> for invasive alien species </w:t>
            </w:r>
            <w:r w:rsidR="00C73542">
              <w:rPr>
                <w:szCs w:val="20"/>
              </w:rPr>
              <w:t xml:space="preserve">management </w:t>
            </w:r>
            <w:r w:rsidR="00C76A64" w:rsidRPr="004D77F8">
              <w:rPr>
                <w:szCs w:val="20"/>
              </w:rPr>
              <w:t>is widely recogni</w:t>
            </w:r>
            <w:r w:rsidR="00C73542">
              <w:rPr>
                <w:szCs w:val="20"/>
              </w:rPr>
              <w:t>s</w:t>
            </w:r>
            <w:r w:rsidR="00C76A64" w:rsidRPr="004D77F8">
              <w:rPr>
                <w:szCs w:val="20"/>
              </w:rPr>
              <w:t>ed</w:t>
            </w:r>
            <w:r w:rsidR="00C73542">
              <w:rPr>
                <w:szCs w:val="20"/>
              </w:rPr>
              <w:t xml:space="preserve"> (</w:t>
            </w:r>
            <w:r w:rsidR="00C73542" w:rsidRPr="004D77F8">
              <w:t>Roy et al., 2018)</w:t>
            </w:r>
            <w:r w:rsidR="00C76A64" w:rsidRPr="004D77F8">
              <w:rPr>
                <w:szCs w:val="20"/>
              </w:rPr>
              <w:t>.</w:t>
            </w:r>
            <w:r w:rsidR="00A545D8" w:rsidRPr="004D77F8">
              <w:rPr>
                <w:szCs w:val="20"/>
              </w:rPr>
              <w:t xml:space="preserve"> New programs and apps are being developed, </w:t>
            </w:r>
            <w:r w:rsidR="00C73542">
              <w:rPr>
                <w:szCs w:val="20"/>
              </w:rPr>
              <w:t>showing</w:t>
            </w:r>
            <w:r w:rsidR="00C73542" w:rsidRPr="004D77F8">
              <w:rPr>
                <w:szCs w:val="20"/>
              </w:rPr>
              <w:t xml:space="preserve"> </w:t>
            </w:r>
            <w:r w:rsidR="00A545D8" w:rsidRPr="004D77F8">
              <w:rPr>
                <w:szCs w:val="20"/>
              </w:rPr>
              <w:t>the popularity of this measure.</w:t>
            </w:r>
            <w:r w:rsidR="00C76A64" w:rsidRPr="004D77F8">
              <w:rPr>
                <w:szCs w:val="20"/>
              </w:rPr>
              <w:t xml:space="preserve"> </w:t>
            </w:r>
          </w:p>
        </w:tc>
      </w:tr>
    </w:tbl>
    <w:p w14:paraId="7D68280B" w14:textId="0D2C85AD" w:rsidR="00B76902" w:rsidRDefault="00B76902"/>
    <w:p w14:paraId="48E89F82" w14:textId="77777777" w:rsidR="00030B0B" w:rsidRDefault="00030B0B"/>
    <w:tbl>
      <w:tblPr>
        <w:tblStyle w:val="TableGrid"/>
        <w:tblW w:w="0" w:type="auto"/>
        <w:tblLook w:val="04A0" w:firstRow="1" w:lastRow="0" w:firstColumn="1" w:lastColumn="0" w:noHBand="0" w:noVBand="1"/>
      </w:tblPr>
      <w:tblGrid>
        <w:gridCol w:w="3295"/>
        <w:gridCol w:w="10653"/>
      </w:tblGrid>
      <w:tr w:rsidR="00030B0B" w:rsidRPr="00EA4F7D" w14:paraId="721AC06E" w14:textId="77777777" w:rsidTr="00292074">
        <w:tc>
          <w:tcPr>
            <w:tcW w:w="13948" w:type="dxa"/>
            <w:gridSpan w:val="2"/>
            <w:shd w:val="clear" w:color="auto" w:fill="C2D69B" w:themeFill="accent3" w:themeFillTint="99"/>
          </w:tcPr>
          <w:p w14:paraId="5D466EEF" w14:textId="6C1FC789" w:rsidR="00030B0B" w:rsidRPr="00EA4F7D" w:rsidRDefault="00030B0B" w:rsidP="00367F11">
            <w:pPr>
              <w:pStyle w:val="NoSpacing"/>
              <w:rPr>
                <w:sz w:val="24"/>
                <w:szCs w:val="24"/>
              </w:rPr>
            </w:pPr>
            <w:r w:rsidRPr="00B97BD3">
              <w:rPr>
                <w:rFonts w:eastAsia="Times New Roman"/>
                <w:b/>
                <w:sz w:val="28"/>
              </w:rPr>
              <w:t>Rapid eradication</w:t>
            </w:r>
            <w:r>
              <w:rPr>
                <w:rFonts w:eastAsia="Times New Roman"/>
                <w:b/>
                <w:sz w:val="28"/>
              </w:rPr>
              <w:t xml:space="preserve"> for new </w:t>
            </w:r>
            <w:r w:rsidR="00367F11">
              <w:rPr>
                <w:rFonts w:eastAsia="Times New Roman"/>
                <w:b/>
                <w:sz w:val="28"/>
              </w:rPr>
              <w:t>introductions</w:t>
            </w:r>
            <w:r w:rsidRPr="002B6463">
              <w:rPr>
                <w:b/>
                <w:sz w:val="28"/>
              </w:rPr>
              <w:t xml:space="preserve"> </w:t>
            </w:r>
            <w:r w:rsidRPr="00C75EDD">
              <w:rPr>
                <w:sz w:val="20"/>
              </w:rPr>
              <w:t xml:space="preserve">- </w:t>
            </w:r>
            <w:r w:rsidRPr="00280410">
              <w:rPr>
                <w:rFonts w:cstheme="minorHAnsi"/>
                <w:sz w:val="20"/>
                <w:szCs w:val="20"/>
              </w:rPr>
              <w:t>Measures to achieve eradication</w:t>
            </w:r>
            <w:r>
              <w:rPr>
                <w:rFonts w:cstheme="minorHAnsi"/>
                <w:sz w:val="20"/>
                <w:szCs w:val="20"/>
              </w:rPr>
              <w:t xml:space="preserve"> </w:t>
            </w:r>
            <w:r w:rsidRPr="00030B0B">
              <w:rPr>
                <w:rFonts w:cstheme="minorHAnsi"/>
                <w:sz w:val="20"/>
                <w:szCs w:val="20"/>
                <w:u w:val="single"/>
              </w:rPr>
              <w:t>at an early stage of invasion</w:t>
            </w:r>
            <w:r>
              <w:rPr>
                <w:rFonts w:cstheme="minorHAnsi"/>
                <w:sz w:val="20"/>
                <w:szCs w:val="20"/>
              </w:rPr>
              <w:t>,</w:t>
            </w:r>
            <w:r w:rsidRPr="00280410">
              <w:rPr>
                <w:rFonts w:cstheme="minorHAnsi"/>
                <w:sz w:val="20"/>
                <w:szCs w:val="20"/>
              </w:rPr>
              <w:t xml:space="preserve"> after an early detection of a new occurrence (cf. Article 17). This section assume</w:t>
            </w:r>
            <w:r>
              <w:rPr>
                <w:rFonts w:cstheme="minorHAnsi"/>
                <w:sz w:val="20"/>
                <w:szCs w:val="20"/>
              </w:rPr>
              <w:t>s</w:t>
            </w:r>
            <w:r w:rsidRPr="00280410">
              <w:rPr>
                <w:rFonts w:cstheme="minorHAnsi"/>
                <w:sz w:val="20"/>
                <w:szCs w:val="20"/>
              </w:rPr>
              <w:t xml:space="preserve"> that the species is not currently present in a Member State, or part of a Member State’s territory. </w:t>
            </w:r>
            <w:r>
              <w:rPr>
                <w:rFonts w:cstheme="minorHAnsi"/>
                <w:b/>
                <w:sz w:val="20"/>
                <w:szCs w:val="24"/>
              </w:rPr>
              <w:t>This</w:t>
            </w:r>
            <w:r w:rsidRPr="00280410">
              <w:rPr>
                <w:rFonts w:cstheme="minorHAnsi"/>
                <w:b/>
                <w:sz w:val="20"/>
                <w:szCs w:val="24"/>
              </w:rPr>
              <w:t xml:space="preserve"> table </w:t>
            </w:r>
            <w:r>
              <w:rPr>
                <w:rFonts w:cstheme="minorHAnsi"/>
                <w:b/>
                <w:sz w:val="20"/>
                <w:szCs w:val="24"/>
              </w:rPr>
              <w:t>is repeated for each of the</w:t>
            </w:r>
            <w:r w:rsidRPr="00280410">
              <w:rPr>
                <w:rFonts w:cstheme="minorHAnsi"/>
                <w:b/>
                <w:sz w:val="20"/>
                <w:szCs w:val="24"/>
              </w:rPr>
              <w:t xml:space="preserve"> eradication measures</w:t>
            </w:r>
            <w:r>
              <w:rPr>
                <w:rFonts w:cstheme="minorHAnsi"/>
                <w:b/>
                <w:sz w:val="20"/>
                <w:szCs w:val="24"/>
              </w:rPr>
              <w:t xml:space="preserve"> identified</w:t>
            </w:r>
            <w:r w:rsidRPr="00280410">
              <w:rPr>
                <w:rFonts w:cstheme="minorHAnsi"/>
                <w:b/>
                <w:sz w:val="20"/>
                <w:szCs w:val="24"/>
              </w:rPr>
              <w:t>.</w:t>
            </w:r>
          </w:p>
        </w:tc>
      </w:tr>
      <w:tr w:rsidR="00030B0B" w:rsidRPr="007C654A" w14:paraId="2FE767E0" w14:textId="77777777" w:rsidTr="00292074">
        <w:trPr>
          <w:trHeight w:val="517"/>
        </w:trPr>
        <w:tc>
          <w:tcPr>
            <w:tcW w:w="3295" w:type="dxa"/>
            <w:tcBorders>
              <w:bottom w:val="single" w:sz="4" w:space="0" w:color="auto"/>
            </w:tcBorders>
            <w:shd w:val="clear" w:color="auto" w:fill="EAF1DD" w:themeFill="accent3" w:themeFillTint="33"/>
          </w:tcPr>
          <w:p w14:paraId="07553499" w14:textId="77777777" w:rsidR="00030B0B" w:rsidRDefault="00030B0B" w:rsidP="00A2483D">
            <w:pPr>
              <w:pStyle w:val="NoSpacing"/>
              <w:rPr>
                <w:b/>
              </w:rPr>
            </w:pPr>
            <w:r>
              <w:rPr>
                <w:b/>
              </w:rPr>
              <w:t>Measure description</w:t>
            </w:r>
          </w:p>
          <w:p w14:paraId="6ACF9624" w14:textId="77777777" w:rsidR="00030B0B" w:rsidRPr="00DE32F5" w:rsidRDefault="00030B0B" w:rsidP="00A2483D">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tc>
        <w:tc>
          <w:tcPr>
            <w:tcW w:w="10653" w:type="dxa"/>
            <w:tcBorders>
              <w:bottom w:val="single" w:sz="4" w:space="0" w:color="auto"/>
            </w:tcBorders>
          </w:tcPr>
          <w:p w14:paraId="748315A4" w14:textId="00844B29" w:rsidR="00B76902" w:rsidRPr="004D77F8" w:rsidRDefault="00B76902" w:rsidP="00B76902">
            <w:pPr>
              <w:pStyle w:val="NoSpacing"/>
              <w:rPr>
                <w:b/>
              </w:rPr>
            </w:pPr>
            <w:r w:rsidRPr="004D77F8">
              <w:rPr>
                <w:b/>
              </w:rPr>
              <w:t>Integrated Pest Management</w:t>
            </w:r>
            <w:r w:rsidR="00B0725E" w:rsidRPr="004D77F8">
              <w:rPr>
                <w:b/>
              </w:rPr>
              <w:t xml:space="preserve"> (IPM)</w:t>
            </w:r>
          </w:p>
          <w:p w14:paraId="3A56406A" w14:textId="77777777" w:rsidR="007569C6" w:rsidRPr="004D77F8" w:rsidRDefault="007569C6" w:rsidP="00B76902">
            <w:pPr>
              <w:pStyle w:val="NoSpacing"/>
              <w:rPr>
                <w:b/>
              </w:rPr>
            </w:pPr>
          </w:p>
          <w:p w14:paraId="421B1FB4" w14:textId="0E215C0A" w:rsidR="008D5227" w:rsidRDefault="004505EE" w:rsidP="003B167A">
            <w:pPr>
              <w:pStyle w:val="NoSpacing"/>
            </w:pPr>
            <w:r w:rsidRPr="004D77F8">
              <w:t>Aquatic IAS ar</w:t>
            </w:r>
            <w:r w:rsidR="008F47E8" w:rsidRPr="004D77F8">
              <w:t xml:space="preserve">e very difficult to manage, </w:t>
            </w:r>
            <w:r w:rsidR="00496E0F" w:rsidRPr="004D77F8">
              <w:t>and usually the combination of different techniques is recommended to achieve good results</w:t>
            </w:r>
            <w:r w:rsidR="003E537B" w:rsidRPr="004D77F8">
              <w:t xml:space="preserve"> (</w:t>
            </w:r>
            <w:proofErr w:type="spellStart"/>
            <w:r w:rsidR="003E537B" w:rsidRPr="004D77F8">
              <w:t>Gherardi</w:t>
            </w:r>
            <w:proofErr w:type="spellEnd"/>
            <w:r w:rsidR="003E537B" w:rsidRPr="004D77F8">
              <w:t xml:space="preserve"> et al., 2011)</w:t>
            </w:r>
            <w:r w:rsidR="00496E0F" w:rsidRPr="004D77F8">
              <w:t>.</w:t>
            </w:r>
            <w:r w:rsidR="0023000C" w:rsidRPr="004D77F8">
              <w:t xml:space="preserve"> </w:t>
            </w:r>
            <w:r w:rsidR="00375E1E" w:rsidRPr="004D77F8">
              <w:t xml:space="preserve">Eradication is even more challenging, and could be </w:t>
            </w:r>
            <w:r w:rsidR="0079644D" w:rsidRPr="004D77F8">
              <w:t>contemplated only</w:t>
            </w:r>
            <w:r w:rsidR="003D1796" w:rsidRPr="004D77F8">
              <w:t xml:space="preserve"> in a closed system</w:t>
            </w:r>
            <w:r w:rsidR="0079644D" w:rsidRPr="004D77F8">
              <w:t>.</w:t>
            </w:r>
            <w:r w:rsidR="003D1796" w:rsidRPr="004D77F8">
              <w:t xml:space="preserve"> </w:t>
            </w:r>
            <w:r w:rsidR="005C32DC" w:rsidRPr="004D77F8">
              <w:t>A combination of intensive trapping with temporary fences</w:t>
            </w:r>
            <w:r w:rsidR="005E352F" w:rsidRPr="004D77F8">
              <w:t>/barriers</w:t>
            </w:r>
            <w:r w:rsidR="005C32DC" w:rsidRPr="004D77F8">
              <w:t xml:space="preserve"> along the area of intervention </w:t>
            </w:r>
            <w:r w:rsidR="00FB3043" w:rsidRPr="004D77F8">
              <w:t xml:space="preserve">to delimit it </w:t>
            </w:r>
            <w:r w:rsidR="005C32DC" w:rsidRPr="004D77F8">
              <w:t xml:space="preserve">could be </w:t>
            </w:r>
            <w:r w:rsidR="0079644D" w:rsidRPr="004D77F8">
              <w:t xml:space="preserve">designed to eradicate the species at </w:t>
            </w:r>
            <w:r w:rsidR="00981E4A">
              <w:t>an</w:t>
            </w:r>
            <w:r w:rsidR="00981E4A" w:rsidRPr="004D77F8">
              <w:t xml:space="preserve"> </w:t>
            </w:r>
            <w:r w:rsidR="0079644D" w:rsidRPr="004D77F8">
              <w:t>early stage o</w:t>
            </w:r>
            <w:r w:rsidR="00FB3043" w:rsidRPr="004D77F8">
              <w:t>f invasion</w:t>
            </w:r>
            <w:r w:rsidR="0079644D" w:rsidRPr="004D77F8">
              <w:t xml:space="preserve">. </w:t>
            </w:r>
            <w:r w:rsidR="00784789" w:rsidRPr="004D77F8">
              <w:t>Use of diversion and pitfall traps can also be considered</w:t>
            </w:r>
            <w:r w:rsidR="001C2566" w:rsidRPr="004D77F8">
              <w:t xml:space="preserve"> (Chinese Mitten Crab Working Group, 2003)</w:t>
            </w:r>
            <w:r w:rsidR="00784789" w:rsidRPr="004D77F8">
              <w:t xml:space="preserve">. </w:t>
            </w:r>
            <w:r w:rsidR="001A1384" w:rsidRPr="004D77F8">
              <w:t xml:space="preserve">Drainage </w:t>
            </w:r>
            <w:r w:rsidR="00622536" w:rsidRPr="004D77F8">
              <w:t>of water bodies cannot be considered</w:t>
            </w:r>
            <w:r w:rsidR="00981E4A">
              <w:t>,</w:t>
            </w:r>
            <w:r w:rsidR="00622536" w:rsidRPr="004D77F8">
              <w:t xml:space="preserve"> as this species can walk overland</w:t>
            </w:r>
            <w:r w:rsidR="00FE2DC7">
              <w:t>,</w:t>
            </w:r>
            <w:r w:rsidR="001A1384" w:rsidRPr="004D77F8">
              <w:t xml:space="preserve"> and </w:t>
            </w:r>
            <w:r w:rsidR="00FE2DC7">
              <w:t xml:space="preserve">considerable negative </w:t>
            </w:r>
            <w:r w:rsidR="001A1384" w:rsidRPr="004D77F8">
              <w:t xml:space="preserve">side effects </w:t>
            </w:r>
            <w:r w:rsidR="0086696C" w:rsidRPr="004D77F8">
              <w:t xml:space="preserve">on non-target species </w:t>
            </w:r>
            <w:r w:rsidR="00A04124" w:rsidRPr="004D77F8">
              <w:t xml:space="preserve">can </w:t>
            </w:r>
            <w:r w:rsidR="00FE2DC7">
              <w:t>result from this</w:t>
            </w:r>
            <w:r w:rsidR="00A04124" w:rsidRPr="004D77F8">
              <w:t>. C</w:t>
            </w:r>
            <w:r w:rsidR="00622536" w:rsidRPr="004D77F8">
              <w:t xml:space="preserve">hemical methods </w:t>
            </w:r>
            <w:r w:rsidR="00A6678B" w:rsidRPr="004D77F8">
              <w:t>have never been tested</w:t>
            </w:r>
            <w:r w:rsidR="00A10738" w:rsidRPr="004D77F8">
              <w:t xml:space="preserve">. Similarly, </w:t>
            </w:r>
            <w:r w:rsidR="00FB3043" w:rsidRPr="004D77F8">
              <w:t>no</w:t>
            </w:r>
            <w:r w:rsidR="00F9482E" w:rsidRPr="004D77F8">
              <w:t xml:space="preserve"> biological control</w:t>
            </w:r>
            <w:r w:rsidR="00A10738" w:rsidRPr="004D77F8">
              <w:t xml:space="preserve"> </w:t>
            </w:r>
            <w:r w:rsidR="00F9482E" w:rsidRPr="004D77F8">
              <w:t xml:space="preserve">specific to </w:t>
            </w:r>
            <w:r w:rsidR="005139E7" w:rsidRPr="004D77F8">
              <w:t xml:space="preserve">Chinese </w:t>
            </w:r>
            <w:r w:rsidR="00F9482E" w:rsidRPr="004D77F8">
              <w:t>mitten crab</w:t>
            </w:r>
            <w:r w:rsidR="00A10738" w:rsidRPr="004D77F8">
              <w:t xml:space="preserve"> is known. Thus, only the combination of mechanical </w:t>
            </w:r>
            <w:r w:rsidR="003B167A" w:rsidRPr="004D77F8">
              <w:t>(traps) and physical (barriers</w:t>
            </w:r>
            <w:r w:rsidR="00215042" w:rsidRPr="004D77F8">
              <w:t>, diversion</w:t>
            </w:r>
            <w:r w:rsidR="003B167A" w:rsidRPr="004D77F8">
              <w:t xml:space="preserve">) methods can be considered. </w:t>
            </w:r>
          </w:p>
          <w:p w14:paraId="69EA74B3" w14:textId="77777777" w:rsidR="009333C5" w:rsidRPr="004D77F8" w:rsidRDefault="009333C5" w:rsidP="003B167A">
            <w:pPr>
              <w:pStyle w:val="NoSpacing"/>
            </w:pPr>
          </w:p>
          <w:p w14:paraId="40E36766" w14:textId="48A1C524" w:rsidR="00C577DE" w:rsidRPr="004D77F8" w:rsidRDefault="008D5227" w:rsidP="003B167A">
            <w:pPr>
              <w:pStyle w:val="NoSpacing"/>
            </w:pPr>
            <w:r w:rsidRPr="004D77F8">
              <w:t>This measure can also be applied for management of established populations.</w:t>
            </w:r>
          </w:p>
          <w:p w14:paraId="38BFC4A3" w14:textId="46F8E88C" w:rsidR="004D77F8" w:rsidRPr="00496E0F" w:rsidRDefault="004D77F8" w:rsidP="0026102F">
            <w:pPr>
              <w:pStyle w:val="NoSpacing"/>
              <w:rPr>
                <w:sz w:val="20"/>
                <w:szCs w:val="20"/>
              </w:rPr>
            </w:pPr>
          </w:p>
        </w:tc>
      </w:tr>
      <w:tr w:rsidR="00030B0B" w:rsidRPr="00621316" w14:paraId="004840EC" w14:textId="77777777" w:rsidTr="00292074">
        <w:trPr>
          <w:trHeight w:val="517"/>
        </w:trPr>
        <w:tc>
          <w:tcPr>
            <w:tcW w:w="3295" w:type="dxa"/>
            <w:tcBorders>
              <w:bottom w:val="single" w:sz="4" w:space="0" w:color="auto"/>
            </w:tcBorders>
            <w:shd w:val="clear" w:color="auto" w:fill="EAF1DD" w:themeFill="accent3" w:themeFillTint="33"/>
          </w:tcPr>
          <w:p w14:paraId="5B88BADD" w14:textId="77777777" w:rsidR="00030B0B" w:rsidRDefault="00030B0B" w:rsidP="00A2483D">
            <w:pPr>
              <w:pStyle w:val="NoSpacing"/>
              <w:rPr>
                <w:b/>
              </w:rPr>
            </w:pPr>
            <w:r>
              <w:rPr>
                <w:b/>
              </w:rPr>
              <w:t>Scale of application</w:t>
            </w:r>
          </w:p>
          <w:p w14:paraId="27759CDC" w14:textId="77777777" w:rsidR="00030B0B" w:rsidRDefault="00030B0B" w:rsidP="00A2483D">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p w14:paraId="660F5EF7" w14:textId="77777777" w:rsidR="00030B0B" w:rsidRPr="00DE32F5" w:rsidRDefault="00030B0B" w:rsidP="00A2483D">
            <w:pPr>
              <w:pStyle w:val="NoSpacing"/>
              <w:rPr>
                <w:sz w:val="20"/>
              </w:rPr>
            </w:pPr>
          </w:p>
        </w:tc>
        <w:tc>
          <w:tcPr>
            <w:tcW w:w="10653" w:type="dxa"/>
            <w:tcBorders>
              <w:bottom w:val="single" w:sz="4" w:space="0" w:color="auto"/>
            </w:tcBorders>
          </w:tcPr>
          <w:p w14:paraId="76BB08A9" w14:textId="79DEB0F5" w:rsidR="00030B0B" w:rsidRPr="00621316" w:rsidRDefault="003E53C3" w:rsidP="003E53C3">
            <w:pPr>
              <w:rPr>
                <w:sz w:val="20"/>
                <w:szCs w:val="20"/>
              </w:rPr>
            </w:pPr>
            <w:r>
              <w:rPr>
                <w:szCs w:val="20"/>
              </w:rPr>
              <w:t>The scale of application</w:t>
            </w:r>
            <w:r w:rsidRPr="004D77F8">
              <w:rPr>
                <w:szCs w:val="20"/>
              </w:rPr>
              <w:t xml:space="preserve"> </w:t>
            </w:r>
            <w:r w:rsidR="006435B0" w:rsidRPr="004D77F8">
              <w:rPr>
                <w:szCs w:val="20"/>
              </w:rPr>
              <w:t xml:space="preserve">depends </w:t>
            </w:r>
            <w:r>
              <w:rPr>
                <w:szCs w:val="20"/>
              </w:rPr>
              <w:t>on</w:t>
            </w:r>
            <w:r w:rsidRPr="004D77F8">
              <w:rPr>
                <w:szCs w:val="20"/>
              </w:rPr>
              <w:t xml:space="preserve"> </w:t>
            </w:r>
            <w:r w:rsidR="00621316" w:rsidRPr="004D77F8">
              <w:rPr>
                <w:szCs w:val="20"/>
              </w:rPr>
              <w:t xml:space="preserve">the size of </w:t>
            </w:r>
            <w:r>
              <w:rPr>
                <w:szCs w:val="20"/>
              </w:rPr>
              <w:t xml:space="preserve">the </w:t>
            </w:r>
            <w:r w:rsidR="00621316" w:rsidRPr="004D77F8">
              <w:rPr>
                <w:szCs w:val="20"/>
              </w:rPr>
              <w:t>selected water body</w:t>
            </w:r>
            <w:r>
              <w:rPr>
                <w:szCs w:val="20"/>
              </w:rPr>
              <w:t xml:space="preserve"> for eradication</w:t>
            </w:r>
            <w:r w:rsidR="00621316" w:rsidRPr="004D77F8">
              <w:rPr>
                <w:szCs w:val="20"/>
              </w:rPr>
              <w:t xml:space="preserve">. </w:t>
            </w:r>
            <w:r w:rsidR="00B0725E" w:rsidRPr="004D77F8">
              <w:rPr>
                <w:szCs w:val="20"/>
              </w:rPr>
              <w:t>However, n</w:t>
            </w:r>
            <w:r w:rsidR="00621316" w:rsidRPr="004D77F8">
              <w:rPr>
                <w:szCs w:val="20"/>
              </w:rPr>
              <w:t>o data on eradication of the species are available.</w:t>
            </w:r>
          </w:p>
        </w:tc>
      </w:tr>
      <w:tr w:rsidR="00030B0B" w:rsidRPr="002B6463" w14:paraId="312A9715" w14:textId="77777777" w:rsidTr="00292074">
        <w:trPr>
          <w:trHeight w:val="2222"/>
        </w:trPr>
        <w:tc>
          <w:tcPr>
            <w:tcW w:w="3295" w:type="dxa"/>
            <w:tcBorders>
              <w:top w:val="single" w:sz="4" w:space="0" w:color="auto"/>
            </w:tcBorders>
            <w:shd w:val="clear" w:color="auto" w:fill="EAF1DD" w:themeFill="accent3" w:themeFillTint="33"/>
          </w:tcPr>
          <w:p w14:paraId="6EEF4538" w14:textId="3D57D89B" w:rsidR="00030B0B" w:rsidRPr="0039672E" w:rsidRDefault="00030B0B" w:rsidP="00A2483D">
            <w:pPr>
              <w:pStyle w:val="NoSpacing"/>
              <w:rPr>
                <w:b/>
              </w:rPr>
            </w:pPr>
            <w:r w:rsidRPr="0039672E">
              <w:rPr>
                <w:b/>
              </w:rPr>
              <w:t xml:space="preserve">Effectiveness of </w:t>
            </w:r>
            <w:r>
              <w:rPr>
                <w:b/>
              </w:rPr>
              <w:t xml:space="preserve">the </w:t>
            </w:r>
            <w:r w:rsidRPr="0039672E">
              <w:rPr>
                <w:b/>
              </w:rPr>
              <w:t>measure</w:t>
            </w:r>
          </w:p>
          <w:p w14:paraId="6C3F6AFB" w14:textId="77777777" w:rsidR="00030B0B" w:rsidRPr="0039672E" w:rsidRDefault="00030B0B" w:rsidP="00A2483D">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57F80E27" w14:textId="77777777" w:rsidR="00030B0B" w:rsidRDefault="00030B0B" w:rsidP="00A2483D">
            <w:pPr>
              <w:pStyle w:val="NoSpacing"/>
              <w:rPr>
                <w:sz w:val="20"/>
              </w:rPr>
            </w:pPr>
          </w:p>
          <w:p w14:paraId="6243C874" w14:textId="77777777" w:rsidR="00030B0B" w:rsidRPr="00DE32F5" w:rsidRDefault="00030B0B" w:rsidP="00A2483D">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559"/>
              <w:gridCol w:w="425"/>
              <w:gridCol w:w="1418"/>
              <w:gridCol w:w="425"/>
              <w:gridCol w:w="1417"/>
              <w:gridCol w:w="426"/>
              <w:gridCol w:w="1273"/>
              <w:gridCol w:w="425"/>
            </w:tblGrid>
            <w:tr w:rsidR="008B4A4D" w14:paraId="444CA078" w14:textId="2D3DCA7C" w:rsidTr="003F77F5">
              <w:tc>
                <w:tcPr>
                  <w:tcW w:w="2116" w:type="dxa"/>
                </w:tcPr>
                <w:p w14:paraId="5D6E059F" w14:textId="77777777" w:rsidR="008B4A4D" w:rsidRPr="002E17F6" w:rsidRDefault="008B4A4D" w:rsidP="00A2483D">
                  <w:pPr>
                    <w:pStyle w:val="NoSpacing"/>
                    <w:rPr>
                      <w:b/>
                      <w:i/>
                      <w:sz w:val="20"/>
                    </w:rPr>
                  </w:pPr>
                  <w:r>
                    <w:rPr>
                      <w:b/>
                      <w:i/>
                      <w:sz w:val="20"/>
                    </w:rPr>
                    <w:t>Effectiveness of measures</w:t>
                  </w:r>
                </w:p>
              </w:tc>
              <w:tc>
                <w:tcPr>
                  <w:tcW w:w="1559" w:type="dxa"/>
                </w:tcPr>
                <w:p w14:paraId="60DA8BC9" w14:textId="77777777" w:rsidR="008B4A4D" w:rsidRDefault="008B4A4D" w:rsidP="00A2483D">
                  <w:pPr>
                    <w:pStyle w:val="NoSpacing"/>
                    <w:jc w:val="right"/>
                    <w:rPr>
                      <w:i/>
                      <w:sz w:val="20"/>
                    </w:rPr>
                  </w:pPr>
                  <w:r>
                    <w:rPr>
                      <w:i/>
                      <w:sz w:val="20"/>
                    </w:rPr>
                    <w:t>Effective</w:t>
                  </w:r>
                </w:p>
              </w:tc>
              <w:tc>
                <w:tcPr>
                  <w:tcW w:w="425" w:type="dxa"/>
                  <w:shd w:val="clear" w:color="auto" w:fill="EAF1DD" w:themeFill="accent3" w:themeFillTint="33"/>
                </w:tcPr>
                <w:p w14:paraId="3B3194DB" w14:textId="77777777" w:rsidR="008B4A4D" w:rsidRDefault="008B4A4D" w:rsidP="00A2483D">
                  <w:pPr>
                    <w:pStyle w:val="NoSpacing"/>
                    <w:jc w:val="right"/>
                    <w:rPr>
                      <w:i/>
                      <w:sz w:val="20"/>
                    </w:rPr>
                  </w:pPr>
                </w:p>
              </w:tc>
              <w:tc>
                <w:tcPr>
                  <w:tcW w:w="1418" w:type="dxa"/>
                </w:tcPr>
                <w:p w14:paraId="7828728B" w14:textId="77777777" w:rsidR="008B4A4D" w:rsidRDefault="008B4A4D" w:rsidP="00A2483D">
                  <w:pPr>
                    <w:pStyle w:val="NoSpacing"/>
                    <w:jc w:val="right"/>
                    <w:rPr>
                      <w:i/>
                      <w:sz w:val="20"/>
                    </w:rPr>
                  </w:pPr>
                  <w:r>
                    <w:rPr>
                      <w:i/>
                      <w:sz w:val="20"/>
                    </w:rPr>
                    <w:t xml:space="preserve">Neutral </w:t>
                  </w:r>
                </w:p>
              </w:tc>
              <w:tc>
                <w:tcPr>
                  <w:tcW w:w="425" w:type="dxa"/>
                  <w:shd w:val="clear" w:color="auto" w:fill="EAF1DD" w:themeFill="accent3" w:themeFillTint="33"/>
                </w:tcPr>
                <w:p w14:paraId="42BF284C" w14:textId="77777777" w:rsidR="008B4A4D" w:rsidRDefault="008B4A4D" w:rsidP="00A2483D">
                  <w:pPr>
                    <w:pStyle w:val="NoSpacing"/>
                    <w:jc w:val="right"/>
                    <w:rPr>
                      <w:i/>
                      <w:sz w:val="20"/>
                    </w:rPr>
                  </w:pPr>
                </w:p>
              </w:tc>
              <w:tc>
                <w:tcPr>
                  <w:tcW w:w="1417" w:type="dxa"/>
                </w:tcPr>
                <w:p w14:paraId="3A79B15E" w14:textId="77777777" w:rsidR="008B4A4D" w:rsidRDefault="008B4A4D" w:rsidP="00A2483D">
                  <w:pPr>
                    <w:pStyle w:val="NoSpacing"/>
                    <w:jc w:val="right"/>
                    <w:rPr>
                      <w:i/>
                      <w:sz w:val="20"/>
                    </w:rPr>
                  </w:pPr>
                  <w:r>
                    <w:rPr>
                      <w:i/>
                      <w:sz w:val="20"/>
                    </w:rPr>
                    <w:t>Ineffective</w:t>
                  </w:r>
                </w:p>
              </w:tc>
              <w:tc>
                <w:tcPr>
                  <w:tcW w:w="426" w:type="dxa"/>
                  <w:shd w:val="clear" w:color="auto" w:fill="EAF1DD" w:themeFill="accent3" w:themeFillTint="33"/>
                </w:tcPr>
                <w:p w14:paraId="6996411B" w14:textId="08BCB0FA" w:rsidR="008B4A4D" w:rsidRDefault="005F6883" w:rsidP="00A2483D">
                  <w:pPr>
                    <w:pStyle w:val="NoSpacing"/>
                    <w:rPr>
                      <w:i/>
                      <w:sz w:val="20"/>
                    </w:rPr>
                  </w:pPr>
                  <w:r>
                    <w:rPr>
                      <w:i/>
                      <w:sz w:val="20"/>
                    </w:rPr>
                    <w:t>X</w:t>
                  </w:r>
                </w:p>
              </w:tc>
              <w:tc>
                <w:tcPr>
                  <w:tcW w:w="1273" w:type="dxa"/>
                  <w:shd w:val="clear" w:color="auto" w:fill="auto"/>
                </w:tcPr>
                <w:p w14:paraId="7D75F7FE" w14:textId="31B7B3BA" w:rsidR="008B4A4D" w:rsidRDefault="008B4A4D" w:rsidP="00A2483D">
                  <w:pPr>
                    <w:pStyle w:val="NoSpacing"/>
                    <w:rPr>
                      <w:i/>
                      <w:sz w:val="20"/>
                    </w:rPr>
                  </w:pPr>
                  <w:r>
                    <w:rPr>
                      <w:i/>
                      <w:sz w:val="20"/>
                    </w:rPr>
                    <w:t>Unknown</w:t>
                  </w:r>
                </w:p>
              </w:tc>
              <w:tc>
                <w:tcPr>
                  <w:tcW w:w="425" w:type="dxa"/>
                  <w:shd w:val="clear" w:color="auto" w:fill="EAF1DD" w:themeFill="accent3" w:themeFillTint="33"/>
                </w:tcPr>
                <w:p w14:paraId="368DCDAA" w14:textId="3226CAC7" w:rsidR="008B4A4D" w:rsidRDefault="008B4A4D" w:rsidP="00A2483D">
                  <w:pPr>
                    <w:pStyle w:val="NoSpacing"/>
                    <w:rPr>
                      <w:i/>
                      <w:sz w:val="20"/>
                    </w:rPr>
                  </w:pPr>
                </w:p>
              </w:tc>
            </w:tr>
          </w:tbl>
          <w:p w14:paraId="4AB4F881" w14:textId="77777777" w:rsidR="00030B0B" w:rsidRDefault="00030B0B" w:rsidP="00A2483D">
            <w:pPr>
              <w:pStyle w:val="NoSpacing"/>
              <w:rPr>
                <w:i/>
                <w:sz w:val="20"/>
              </w:rPr>
            </w:pPr>
          </w:p>
          <w:p w14:paraId="1BAE4FB2" w14:textId="77777777" w:rsidR="00030B0B" w:rsidRDefault="00030B0B" w:rsidP="00A2483D">
            <w:pPr>
              <w:pStyle w:val="NoSpacing"/>
              <w:rPr>
                <w:sz w:val="20"/>
              </w:rPr>
            </w:pPr>
            <w:r w:rsidRPr="00C856F5">
              <w:rPr>
                <w:i/>
                <w:sz w:val="20"/>
              </w:rPr>
              <w:t>Rationale</w:t>
            </w:r>
            <w:r>
              <w:rPr>
                <w:sz w:val="20"/>
              </w:rPr>
              <w:t>:</w:t>
            </w:r>
          </w:p>
          <w:p w14:paraId="4700995E" w14:textId="178E0DF2" w:rsidR="00030B0B" w:rsidRDefault="00621316" w:rsidP="00784789">
            <w:pPr>
              <w:pStyle w:val="NoSpacing"/>
            </w:pPr>
            <w:r w:rsidRPr="004D77F8">
              <w:t>Up to now, eradication</w:t>
            </w:r>
            <w:r w:rsidR="006435B0" w:rsidRPr="004D77F8">
              <w:t xml:space="preserve"> of the species </w:t>
            </w:r>
            <w:r w:rsidRPr="004D77F8">
              <w:t xml:space="preserve">has never been </w:t>
            </w:r>
            <w:r w:rsidR="00784D4F">
              <w:t>achieved</w:t>
            </w:r>
            <w:r w:rsidR="001F255E" w:rsidRPr="004D77F8">
              <w:t>.</w:t>
            </w:r>
            <w:r w:rsidR="00276999" w:rsidRPr="004D77F8">
              <w:t xml:space="preserve"> </w:t>
            </w:r>
            <w:r w:rsidR="00784789" w:rsidRPr="004D77F8">
              <w:t xml:space="preserve">In </w:t>
            </w:r>
            <w:r w:rsidR="00C56F22">
              <w:t xml:space="preserve">the </w:t>
            </w:r>
            <w:r w:rsidR="00784789" w:rsidRPr="004D77F8">
              <w:t>US</w:t>
            </w:r>
            <w:r w:rsidR="00C56F22">
              <w:t>A</w:t>
            </w:r>
            <w:r w:rsidR="00784789" w:rsidRPr="004D77F8">
              <w:t>, a pilot project to evaluate the feasibility of capturing adult crabs via a diversion and pitfall trap during fall downstream migration was conducted. Success of this method was very high, with an estimated 11,000 crabs captured on one small creek during a 6-week period, with 85% of the crabs caught in less than 3 weeks (</w:t>
            </w:r>
            <w:r w:rsidR="00784789" w:rsidRPr="004D77F8">
              <w:rPr>
                <w:szCs w:val="20"/>
              </w:rPr>
              <w:t>Chinese M</w:t>
            </w:r>
            <w:r w:rsidR="004261DE">
              <w:rPr>
                <w:szCs w:val="20"/>
              </w:rPr>
              <w:t>itten Crab Working Group, 2003);</w:t>
            </w:r>
            <w:r w:rsidR="00784789" w:rsidRPr="004D77F8">
              <w:rPr>
                <w:szCs w:val="20"/>
              </w:rPr>
              <w:t xml:space="preserve"> however</w:t>
            </w:r>
            <w:r w:rsidR="004261DE">
              <w:rPr>
                <w:szCs w:val="20"/>
              </w:rPr>
              <w:t>,</w:t>
            </w:r>
            <w:r w:rsidR="00784789" w:rsidRPr="004D77F8">
              <w:rPr>
                <w:szCs w:val="20"/>
              </w:rPr>
              <w:t xml:space="preserve"> </w:t>
            </w:r>
            <w:r w:rsidR="004261DE">
              <w:rPr>
                <w:szCs w:val="20"/>
              </w:rPr>
              <w:t>eradication of</w:t>
            </w:r>
            <w:r w:rsidR="00784789" w:rsidRPr="004D77F8">
              <w:rPr>
                <w:szCs w:val="20"/>
              </w:rPr>
              <w:t xml:space="preserve"> the species</w:t>
            </w:r>
            <w:r w:rsidR="004261DE">
              <w:rPr>
                <w:szCs w:val="20"/>
              </w:rPr>
              <w:t xml:space="preserve"> was not achieved</w:t>
            </w:r>
            <w:r w:rsidR="00784789" w:rsidRPr="004D77F8">
              <w:rPr>
                <w:szCs w:val="20"/>
              </w:rPr>
              <w:t>.</w:t>
            </w:r>
            <w:r w:rsidR="00784789" w:rsidRPr="004D77F8">
              <w:t xml:space="preserve"> </w:t>
            </w:r>
            <w:r w:rsidR="00784D4F">
              <w:t xml:space="preserve">Hence, </w:t>
            </w:r>
            <w:r w:rsidR="004261DE">
              <w:t xml:space="preserve">for now, </w:t>
            </w:r>
            <w:r w:rsidR="00784D4F">
              <w:t>this method is considered as ineffective for eradication (with the possible exception of very intense IPM at a very early stage of introduction)</w:t>
            </w:r>
            <w:r w:rsidR="004261DE">
              <w:t>,</w:t>
            </w:r>
            <w:r w:rsidR="00784D4F">
              <w:t xml:space="preserve"> but it can give good results for the control of Chinese mitten crab’s populations.</w:t>
            </w:r>
          </w:p>
          <w:p w14:paraId="0934298C" w14:textId="255EF598" w:rsidR="004D77F8" w:rsidRPr="002B6463" w:rsidRDefault="004D77F8" w:rsidP="00784789">
            <w:pPr>
              <w:pStyle w:val="NoSpacing"/>
              <w:rPr>
                <w:sz w:val="20"/>
              </w:rPr>
            </w:pPr>
          </w:p>
        </w:tc>
      </w:tr>
      <w:tr w:rsidR="00030B0B" w14:paraId="5688425C" w14:textId="77777777" w:rsidTr="00292074">
        <w:tc>
          <w:tcPr>
            <w:tcW w:w="3295" w:type="dxa"/>
            <w:shd w:val="clear" w:color="auto" w:fill="EAF1DD" w:themeFill="accent3" w:themeFillTint="33"/>
          </w:tcPr>
          <w:p w14:paraId="49F2D573" w14:textId="77777777" w:rsidR="00030B0B" w:rsidRPr="0039672E" w:rsidRDefault="00030B0B" w:rsidP="00A2483D">
            <w:pPr>
              <w:pStyle w:val="NoSpacing"/>
              <w:rPr>
                <w:b/>
              </w:rPr>
            </w:pPr>
            <w:r w:rsidRPr="0039672E">
              <w:rPr>
                <w:b/>
              </w:rPr>
              <w:lastRenderedPageBreak/>
              <w:t>Effort required</w:t>
            </w:r>
          </w:p>
          <w:p w14:paraId="03F367EF" w14:textId="6D418A23" w:rsidR="00030B0B" w:rsidRPr="002B6463" w:rsidRDefault="00030B0B" w:rsidP="00A2483D">
            <w:pPr>
              <w:pStyle w:val="NoSpacing"/>
              <w:rPr>
                <w:sz w:val="20"/>
              </w:rPr>
            </w:pPr>
            <w:r w:rsidRPr="00EA6987">
              <w:rPr>
                <w:sz w:val="20"/>
              </w:rPr>
              <w:t>e.g. period of time over which measure need</w:t>
            </w:r>
            <w:r w:rsidR="003165ED">
              <w:rPr>
                <w:sz w:val="20"/>
              </w:rPr>
              <w:t>s</w:t>
            </w:r>
            <w:r w:rsidRPr="00EA6987">
              <w:rPr>
                <w:sz w:val="20"/>
              </w:rPr>
              <w:t xml:space="preserve"> to be applied to have results</w:t>
            </w:r>
          </w:p>
        </w:tc>
        <w:tc>
          <w:tcPr>
            <w:tcW w:w="10653" w:type="dxa"/>
          </w:tcPr>
          <w:p w14:paraId="551DFFC2" w14:textId="77777777" w:rsidR="00030B0B" w:rsidRDefault="00DB363E" w:rsidP="00A2483D">
            <w:pPr>
              <w:pStyle w:val="NoSpacing"/>
            </w:pPr>
            <w:r w:rsidRPr="004D77F8">
              <w:t>A</w:t>
            </w:r>
            <w:r w:rsidR="001F255E" w:rsidRPr="004D77F8">
              <w:t xml:space="preserve"> long time</w:t>
            </w:r>
            <w:r w:rsidRPr="004D77F8">
              <w:t xml:space="preserve"> is required to achieve an eradication; moreover, </w:t>
            </w:r>
            <w:r w:rsidR="00EE5981" w:rsidRPr="004D77F8">
              <w:t xml:space="preserve">a post-intervention verification is needed to </w:t>
            </w:r>
            <w:r w:rsidR="00644053" w:rsidRPr="004D77F8">
              <w:t>confirm</w:t>
            </w:r>
            <w:r w:rsidR="0040331B" w:rsidRPr="004D77F8">
              <w:t xml:space="preserve"> it</w:t>
            </w:r>
            <w:r w:rsidR="00D40F57" w:rsidRPr="004D77F8">
              <w:t xml:space="preserve"> (the use of </w:t>
            </w:r>
            <w:r w:rsidR="00B1441B" w:rsidRPr="004D77F8">
              <w:t>eDNA</w:t>
            </w:r>
            <w:r w:rsidR="00D40F57" w:rsidRPr="004D77F8">
              <w:t xml:space="preserve"> can be considered)</w:t>
            </w:r>
            <w:r w:rsidR="00EE5981" w:rsidRPr="004D77F8">
              <w:t xml:space="preserve"> </w:t>
            </w:r>
            <w:r w:rsidR="002F6D65" w:rsidRPr="004D77F8">
              <w:t xml:space="preserve">and a monitoring system should be </w:t>
            </w:r>
            <w:r w:rsidR="004C2115" w:rsidRPr="004D77F8">
              <w:t xml:space="preserve">set to avoid a reintroduction. </w:t>
            </w:r>
          </w:p>
          <w:p w14:paraId="2D7FD43A" w14:textId="77777777" w:rsidR="00784D4F" w:rsidRDefault="00784D4F" w:rsidP="00A2483D">
            <w:pPr>
              <w:pStyle w:val="NoSpacing"/>
            </w:pPr>
            <w:r w:rsidRPr="00597A84">
              <w:t>When using IPM for the control of an established population, the measure should be applied indefinitely.</w:t>
            </w:r>
          </w:p>
          <w:p w14:paraId="2BE6F66B" w14:textId="4B2A36A9" w:rsidR="001B583F" w:rsidRPr="002B6463" w:rsidRDefault="001B583F" w:rsidP="00A2483D">
            <w:pPr>
              <w:pStyle w:val="NoSpacing"/>
              <w:rPr>
                <w:sz w:val="20"/>
              </w:rPr>
            </w:pPr>
          </w:p>
        </w:tc>
      </w:tr>
      <w:tr w:rsidR="00030B0B" w14:paraId="2B2CDF67" w14:textId="77777777" w:rsidTr="00292074">
        <w:tc>
          <w:tcPr>
            <w:tcW w:w="3295" w:type="dxa"/>
            <w:shd w:val="clear" w:color="auto" w:fill="EAF1DD" w:themeFill="accent3" w:themeFillTint="33"/>
          </w:tcPr>
          <w:p w14:paraId="446694F2" w14:textId="77777777" w:rsidR="00030B0B" w:rsidRPr="0039672E" w:rsidRDefault="00030B0B" w:rsidP="00A2483D">
            <w:pPr>
              <w:pStyle w:val="NoSpacing"/>
              <w:rPr>
                <w:b/>
                <w:sz w:val="24"/>
                <w:vertAlign w:val="superscript"/>
              </w:rPr>
            </w:pPr>
            <w:r w:rsidRPr="0039672E">
              <w:rPr>
                <w:b/>
              </w:rPr>
              <w:t>Resources required</w:t>
            </w:r>
            <w:r>
              <w:rPr>
                <w:b/>
              </w:rPr>
              <w:t xml:space="preserve"> </w:t>
            </w:r>
            <w:r>
              <w:rPr>
                <w:b/>
                <w:vertAlign w:val="superscript"/>
              </w:rPr>
              <w:t>1</w:t>
            </w:r>
          </w:p>
          <w:p w14:paraId="2E6CD35E" w14:textId="77777777" w:rsidR="00030B0B" w:rsidRPr="002B6463" w:rsidRDefault="00030B0B" w:rsidP="00A2483D">
            <w:pPr>
              <w:pStyle w:val="NoSpacing"/>
              <w:rPr>
                <w:sz w:val="20"/>
              </w:rPr>
            </w:pPr>
            <w:r>
              <w:rPr>
                <w:sz w:val="20"/>
              </w:rPr>
              <w:t>e.g. cost, staff, equipment etc.</w:t>
            </w:r>
          </w:p>
        </w:tc>
        <w:tc>
          <w:tcPr>
            <w:tcW w:w="10653" w:type="dxa"/>
          </w:tcPr>
          <w:p w14:paraId="252E4B99" w14:textId="6B3D435E" w:rsidR="00030B0B" w:rsidRDefault="00A63504" w:rsidP="00A2483D">
            <w:pPr>
              <w:pStyle w:val="NoSpacing"/>
            </w:pPr>
            <w:r w:rsidRPr="004D77F8">
              <w:t xml:space="preserve">Costs are related to </w:t>
            </w:r>
            <w:r w:rsidR="00AE7A8A" w:rsidRPr="004D77F8">
              <w:t xml:space="preserve">the </w:t>
            </w:r>
            <w:r w:rsidR="00C037B8" w:rsidRPr="004D77F8">
              <w:t xml:space="preserve">different </w:t>
            </w:r>
            <w:r w:rsidR="00AE7A8A" w:rsidRPr="004D77F8">
              <w:t>technique</w:t>
            </w:r>
            <w:r w:rsidR="00644053">
              <w:t>s</w:t>
            </w:r>
            <w:r w:rsidR="00AE7A8A" w:rsidRPr="004D77F8">
              <w:t xml:space="preserve"> applied (</w:t>
            </w:r>
            <w:r w:rsidRPr="004D77F8">
              <w:t>traps</w:t>
            </w:r>
            <w:r w:rsidR="00AE7A8A" w:rsidRPr="004D77F8">
              <w:t xml:space="preserve"> with bait</w:t>
            </w:r>
            <w:r w:rsidRPr="004D77F8">
              <w:t>/barrie</w:t>
            </w:r>
            <w:r w:rsidR="00AE7A8A" w:rsidRPr="004D77F8">
              <w:t>rs</w:t>
            </w:r>
            <w:r w:rsidR="00FD6203" w:rsidRPr="004D77F8">
              <w:t>/diversion</w:t>
            </w:r>
            <w:r w:rsidR="00AE7A8A" w:rsidRPr="004D77F8">
              <w:t>), the personnel involved in the eradication, the disposal of caught animals</w:t>
            </w:r>
            <w:r w:rsidR="00C037B8" w:rsidRPr="004D77F8">
              <w:t xml:space="preserve">, </w:t>
            </w:r>
            <w:r w:rsidR="00644053">
              <w:t xml:space="preserve">and </w:t>
            </w:r>
            <w:r w:rsidR="00C037B8" w:rsidRPr="004D77F8">
              <w:t>eventually t</w:t>
            </w:r>
            <w:r w:rsidR="00644053">
              <w:t>he</w:t>
            </w:r>
            <w:r w:rsidR="00C037B8" w:rsidRPr="004D77F8">
              <w:t xml:space="preserve"> use of eDNA</w:t>
            </w:r>
            <w:r w:rsidR="00644053">
              <w:t xml:space="preserve"> to confirm eradication</w:t>
            </w:r>
            <w:r w:rsidR="00C037B8" w:rsidRPr="004D77F8">
              <w:t>.</w:t>
            </w:r>
            <w:r w:rsidR="00AE7A8A" w:rsidRPr="004D77F8">
              <w:t xml:space="preserve"> </w:t>
            </w:r>
            <w:r w:rsidR="00BD7149" w:rsidRPr="004D77F8">
              <w:t xml:space="preserve">A cost of </w:t>
            </w:r>
            <w:r w:rsidR="00A12642" w:rsidRPr="004D77F8">
              <w:t xml:space="preserve">more than </w:t>
            </w:r>
            <w:r w:rsidR="00A12642" w:rsidRPr="004D77F8">
              <w:rPr>
                <w:rFonts w:cstheme="minorHAnsi"/>
              </w:rPr>
              <w:t>€</w:t>
            </w:r>
            <w:r w:rsidR="00A12642" w:rsidRPr="004D77F8">
              <w:t xml:space="preserve"> </w:t>
            </w:r>
            <w:r w:rsidR="00BD7149" w:rsidRPr="004D77F8">
              <w:t xml:space="preserve">120,000 </w:t>
            </w:r>
            <w:r w:rsidR="00234826" w:rsidRPr="004D77F8">
              <w:t>during the first year, decreasing the subsequent years</w:t>
            </w:r>
            <w:r w:rsidR="00A12642" w:rsidRPr="004D77F8">
              <w:t>,</w:t>
            </w:r>
            <w:r w:rsidR="00234826" w:rsidRPr="004D77F8">
              <w:t xml:space="preserve"> </w:t>
            </w:r>
            <w:r w:rsidR="005949FC">
              <w:t>has</w:t>
            </w:r>
            <w:r w:rsidR="005949FC" w:rsidRPr="004D77F8">
              <w:t xml:space="preserve"> </w:t>
            </w:r>
            <w:r w:rsidR="00234826" w:rsidRPr="004D77F8">
              <w:t>be</w:t>
            </w:r>
            <w:r w:rsidR="005949FC">
              <w:t>en</w:t>
            </w:r>
            <w:r w:rsidR="00234826" w:rsidRPr="004D77F8">
              <w:t xml:space="preserve"> estimated </w:t>
            </w:r>
            <w:r w:rsidR="005A2530" w:rsidRPr="004D77F8">
              <w:t xml:space="preserve">(Kelly </w:t>
            </w:r>
            <w:r w:rsidR="00644053">
              <w:t>&amp;</w:t>
            </w:r>
            <w:r w:rsidR="00644053" w:rsidRPr="004D77F8">
              <w:t xml:space="preserve"> </w:t>
            </w:r>
            <w:r w:rsidR="005A2530" w:rsidRPr="004D77F8">
              <w:t>Maguire, 2009).</w:t>
            </w:r>
          </w:p>
          <w:p w14:paraId="1FF5939E" w14:textId="23E50CF1" w:rsidR="004D77F8" w:rsidRPr="002B6463" w:rsidRDefault="004D77F8" w:rsidP="00A2483D">
            <w:pPr>
              <w:pStyle w:val="NoSpacing"/>
              <w:rPr>
                <w:sz w:val="20"/>
              </w:rPr>
            </w:pPr>
          </w:p>
        </w:tc>
      </w:tr>
      <w:tr w:rsidR="00030B0B" w:rsidRPr="002B6463" w14:paraId="52BBF47F" w14:textId="77777777" w:rsidTr="00292074">
        <w:tc>
          <w:tcPr>
            <w:tcW w:w="3295" w:type="dxa"/>
            <w:shd w:val="clear" w:color="auto" w:fill="EAF1DD" w:themeFill="accent3" w:themeFillTint="33"/>
          </w:tcPr>
          <w:p w14:paraId="73834570" w14:textId="77777777" w:rsidR="00030B0B" w:rsidRPr="0039672E" w:rsidRDefault="00030B0B" w:rsidP="00A2483D">
            <w:pPr>
              <w:pStyle w:val="NoSpacing"/>
              <w:rPr>
                <w:b/>
              </w:rPr>
            </w:pPr>
            <w:r w:rsidRPr="0039672E">
              <w:rPr>
                <w:b/>
              </w:rPr>
              <w:t>Side effects (incl. potential)</w:t>
            </w:r>
            <w:r>
              <w:rPr>
                <w:b/>
              </w:rPr>
              <w:t xml:space="preserve"> – both positive and negative</w:t>
            </w:r>
          </w:p>
          <w:p w14:paraId="0E0BBD6C" w14:textId="77777777" w:rsidR="00030B0B" w:rsidRDefault="00030B0B" w:rsidP="00A2483D">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736E82B7" w14:textId="77777777" w:rsidR="00030B0B" w:rsidRDefault="00030B0B" w:rsidP="00A2483D">
            <w:pPr>
              <w:pStyle w:val="NoSpacing"/>
              <w:rPr>
                <w:b/>
              </w:rPr>
            </w:pPr>
          </w:p>
          <w:p w14:paraId="7199A64E" w14:textId="77777777" w:rsidR="00030B0B" w:rsidRPr="0039672E" w:rsidRDefault="00030B0B" w:rsidP="00A2483D">
            <w:pPr>
              <w:pStyle w:val="NoSpacing"/>
              <w:rPr>
                <w:b/>
              </w:rPr>
            </w:pPr>
            <w:r>
              <w:rPr>
                <w:sz w:val="20"/>
              </w:rPr>
              <w:t>For each of the side effect types please select one of the impact 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030B0B" w14:paraId="42D72DB3" w14:textId="77777777" w:rsidTr="00292074">
              <w:tc>
                <w:tcPr>
                  <w:tcW w:w="2116" w:type="dxa"/>
                </w:tcPr>
                <w:p w14:paraId="2E8DFA0B" w14:textId="77777777" w:rsidR="00030B0B" w:rsidRPr="002E17F6" w:rsidRDefault="00030B0B" w:rsidP="00A2483D">
                  <w:pPr>
                    <w:pStyle w:val="NoSpacing"/>
                    <w:rPr>
                      <w:b/>
                      <w:i/>
                      <w:sz w:val="20"/>
                    </w:rPr>
                  </w:pPr>
                  <w:r w:rsidRPr="002E17F6">
                    <w:rPr>
                      <w:b/>
                      <w:i/>
                      <w:sz w:val="20"/>
                    </w:rPr>
                    <w:t>Environmental</w:t>
                  </w:r>
                  <w:r>
                    <w:rPr>
                      <w:b/>
                      <w:i/>
                      <w:sz w:val="20"/>
                    </w:rPr>
                    <w:t xml:space="preserve"> effects</w:t>
                  </w:r>
                </w:p>
              </w:tc>
              <w:tc>
                <w:tcPr>
                  <w:tcW w:w="1701" w:type="dxa"/>
                </w:tcPr>
                <w:p w14:paraId="17BE4DA4" w14:textId="77777777" w:rsidR="00030B0B" w:rsidRDefault="00030B0B" w:rsidP="00A2483D">
                  <w:pPr>
                    <w:pStyle w:val="NoSpacing"/>
                    <w:jc w:val="right"/>
                    <w:rPr>
                      <w:i/>
                      <w:sz w:val="20"/>
                    </w:rPr>
                  </w:pPr>
                  <w:r>
                    <w:rPr>
                      <w:i/>
                      <w:sz w:val="20"/>
                    </w:rPr>
                    <w:t>Positive</w:t>
                  </w:r>
                </w:p>
              </w:tc>
              <w:tc>
                <w:tcPr>
                  <w:tcW w:w="425" w:type="dxa"/>
                  <w:shd w:val="clear" w:color="auto" w:fill="EAF1DD" w:themeFill="accent3" w:themeFillTint="33"/>
                </w:tcPr>
                <w:p w14:paraId="7AB557A7" w14:textId="77777777" w:rsidR="00030B0B" w:rsidRDefault="00030B0B" w:rsidP="00A2483D">
                  <w:pPr>
                    <w:pStyle w:val="NoSpacing"/>
                    <w:jc w:val="right"/>
                    <w:rPr>
                      <w:i/>
                      <w:sz w:val="20"/>
                    </w:rPr>
                  </w:pPr>
                </w:p>
              </w:tc>
              <w:tc>
                <w:tcPr>
                  <w:tcW w:w="2268" w:type="dxa"/>
                </w:tcPr>
                <w:p w14:paraId="19F0A206" w14:textId="77777777" w:rsidR="00030B0B" w:rsidRDefault="00030B0B" w:rsidP="00A2483D">
                  <w:pPr>
                    <w:pStyle w:val="NoSpacing"/>
                    <w:jc w:val="right"/>
                    <w:rPr>
                      <w:i/>
                      <w:sz w:val="20"/>
                    </w:rPr>
                  </w:pPr>
                  <w:r>
                    <w:rPr>
                      <w:i/>
                      <w:sz w:val="20"/>
                    </w:rPr>
                    <w:t>Neutral or mixed</w:t>
                  </w:r>
                </w:p>
              </w:tc>
              <w:tc>
                <w:tcPr>
                  <w:tcW w:w="425" w:type="dxa"/>
                  <w:shd w:val="clear" w:color="auto" w:fill="EAF1DD" w:themeFill="accent3" w:themeFillTint="33"/>
                </w:tcPr>
                <w:p w14:paraId="3F847980" w14:textId="77777777" w:rsidR="00030B0B" w:rsidRDefault="00030B0B" w:rsidP="00A2483D">
                  <w:pPr>
                    <w:pStyle w:val="NoSpacing"/>
                    <w:jc w:val="right"/>
                    <w:rPr>
                      <w:i/>
                      <w:sz w:val="20"/>
                    </w:rPr>
                  </w:pPr>
                </w:p>
              </w:tc>
              <w:tc>
                <w:tcPr>
                  <w:tcW w:w="2002" w:type="dxa"/>
                </w:tcPr>
                <w:p w14:paraId="5835FB9D" w14:textId="77777777" w:rsidR="00030B0B" w:rsidRDefault="00030B0B" w:rsidP="00A2483D">
                  <w:pPr>
                    <w:pStyle w:val="NoSpacing"/>
                    <w:jc w:val="right"/>
                    <w:rPr>
                      <w:i/>
                      <w:sz w:val="20"/>
                    </w:rPr>
                  </w:pPr>
                  <w:r>
                    <w:rPr>
                      <w:i/>
                      <w:sz w:val="20"/>
                    </w:rPr>
                    <w:t>Negative</w:t>
                  </w:r>
                </w:p>
              </w:tc>
              <w:tc>
                <w:tcPr>
                  <w:tcW w:w="408" w:type="dxa"/>
                  <w:shd w:val="clear" w:color="auto" w:fill="EAF1DD" w:themeFill="accent3" w:themeFillTint="33"/>
                </w:tcPr>
                <w:p w14:paraId="2A02A741" w14:textId="5BE480A2" w:rsidR="00030B0B" w:rsidRDefault="006435B0" w:rsidP="00A2483D">
                  <w:pPr>
                    <w:pStyle w:val="NoSpacing"/>
                    <w:rPr>
                      <w:i/>
                      <w:sz w:val="20"/>
                    </w:rPr>
                  </w:pPr>
                  <w:r>
                    <w:rPr>
                      <w:i/>
                      <w:sz w:val="20"/>
                    </w:rPr>
                    <w:t>X</w:t>
                  </w:r>
                </w:p>
              </w:tc>
            </w:tr>
            <w:tr w:rsidR="00030B0B" w14:paraId="67E569C8" w14:textId="77777777" w:rsidTr="00292074">
              <w:tc>
                <w:tcPr>
                  <w:tcW w:w="2116" w:type="dxa"/>
                </w:tcPr>
                <w:p w14:paraId="5400F1A3" w14:textId="77777777" w:rsidR="00030B0B" w:rsidRPr="002E17F6" w:rsidRDefault="00030B0B" w:rsidP="00A2483D">
                  <w:pPr>
                    <w:pStyle w:val="NoSpacing"/>
                    <w:rPr>
                      <w:b/>
                      <w:i/>
                      <w:sz w:val="20"/>
                    </w:rPr>
                  </w:pPr>
                  <w:r w:rsidRPr="002E17F6">
                    <w:rPr>
                      <w:b/>
                      <w:i/>
                      <w:sz w:val="20"/>
                    </w:rPr>
                    <w:t>Social</w:t>
                  </w:r>
                  <w:r>
                    <w:rPr>
                      <w:b/>
                      <w:i/>
                      <w:sz w:val="20"/>
                    </w:rPr>
                    <w:t xml:space="preserve"> effects</w:t>
                  </w:r>
                </w:p>
              </w:tc>
              <w:tc>
                <w:tcPr>
                  <w:tcW w:w="1701" w:type="dxa"/>
                </w:tcPr>
                <w:p w14:paraId="4342CA3D" w14:textId="77777777" w:rsidR="00030B0B" w:rsidRDefault="00030B0B" w:rsidP="00A2483D">
                  <w:pPr>
                    <w:pStyle w:val="NoSpacing"/>
                    <w:jc w:val="right"/>
                    <w:rPr>
                      <w:i/>
                      <w:sz w:val="20"/>
                    </w:rPr>
                  </w:pPr>
                  <w:r>
                    <w:rPr>
                      <w:i/>
                      <w:sz w:val="20"/>
                    </w:rPr>
                    <w:t>Positive</w:t>
                  </w:r>
                </w:p>
              </w:tc>
              <w:tc>
                <w:tcPr>
                  <w:tcW w:w="425" w:type="dxa"/>
                  <w:shd w:val="clear" w:color="auto" w:fill="EAF1DD" w:themeFill="accent3" w:themeFillTint="33"/>
                </w:tcPr>
                <w:p w14:paraId="74555FB2" w14:textId="77777777" w:rsidR="00030B0B" w:rsidRDefault="00030B0B" w:rsidP="00A2483D">
                  <w:pPr>
                    <w:pStyle w:val="NoSpacing"/>
                    <w:jc w:val="right"/>
                    <w:rPr>
                      <w:i/>
                      <w:sz w:val="20"/>
                    </w:rPr>
                  </w:pPr>
                </w:p>
              </w:tc>
              <w:tc>
                <w:tcPr>
                  <w:tcW w:w="2268" w:type="dxa"/>
                </w:tcPr>
                <w:p w14:paraId="0A453231" w14:textId="77777777" w:rsidR="00030B0B" w:rsidRDefault="00030B0B" w:rsidP="00A2483D">
                  <w:pPr>
                    <w:pStyle w:val="NoSpacing"/>
                    <w:jc w:val="right"/>
                    <w:rPr>
                      <w:i/>
                      <w:sz w:val="20"/>
                    </w:rPr>
                  </w:pPr>
                  <w:r>
                    <w:rPr>
                      <w:i/>
                      <w:sz w:val="20"/>
                    </w:rPr>
                    <w:t>Neutral or mixed</w:t>
                  </w:r>
                </w:p>
              </w:tc>
              <w:tc>
                <w:tcPr>
                  <w:tcW w:w="425" w:type="dxa"/>
                  <w:shd w:val="clear" w:color="auto" w:fill="EAF1DD" w:themeFill="accent3" w:themeFillTint="33"/>
                </w:tcPr>
                <w:p w14:paraId="1BA34577" w14:textId="6827AE53" w:rsidR="00030B0B" w:rsidRDefault="006435B0" w:rsidP="00A2483D">
                  <w:pPr>
                    <w:pStyle w:val="NoSpacing"/>
                    <w:jc w:val="right"/>
                    <w:rPr>
                      <w:i/>
                      <w:sz w:val="20"/>
                    </w:rPr>
                  </w:pPr>
                  <w:r>
                    <w:rPr>
                      <w:i/>
                      <w:sz w:val="20"/>
                    </w:rPr>
                    <w:t>X</w:t>
                  </w:r>
                </w:p>
              </w:tc>
              <w:tc>
                <w:tcPr>
                  <w:tcW w:w="2002" w:type="dxa"/>
                </w:tcPr>
                <w:p w14:paraId="61AC9A87" w14:textId="77777777" w:rsidR="00030B0B" w:rsidRDefault="00030B0B" w:rsidP="00A2483D">
                  <w:pPr>
                    <w:pStyle w:val="NoSpacing"/>
                    <w:jc w:val="right"/>
                    <w:rPr>
                      <w:i/>
                      <w:sz w:val="20"/>
                    </w:rPr>
                  </w:pPr>
                  <w:r>
                    <w:rPr>
                      <w:i/>
                      <w:sz w:val="20"/>
                    </w:rPr>
                    <w:t>Negative</w:t>
                  </w:r>
                </w:p>
              </w:tc>
              <w:tc>
                <w:tcPr>
                  <w:tcW w:w="408" w:type="dxa"/>
                  <w:shd w:val="clear" w:color="auto" w:fill="EAF1DD" w:themeFill="accent3" w:themeFillTint="33"/>
                </w:tcPr>
                <w:p w14:paraId="35B12501" w14:textId="77777777" w:rsidR="00030B0B" w:rsidRDefault="00030B0B" w:rsidP="00A2483D">
                  <w:pPr>
                    <w:pStyle w:val="NoSpacing"/>
                    <w:rPr>
                      <w:i/>
                      <w:sz w:val="20"/>
                    </w:rPr>
                  </w:pPr>
                </w:p>
              </w:tc>
            </w:tr>
            <w:tr w:rsidR="00030B0B" w14:paraId="1801F825" w14:textId="77777777" w:rsidTr="00292074">
              <w:tc>
                <w:tcPr>
                  <w:tcW w:w="2116" w:type="dxa"/>
                </w:tcPr>
                <w:p w14:paraId="6718165D" w14:textId="77777777" w:rsidR="00030B0B" w:rsidRPr="002E17F6" w:rsidRDefault="00030B0B" w:rsidP="00A2483D">
                  <w:pPr>
                    <w:pStyle w:val="NoSpacing"/>
                    <w:rPr>
                      <w:b/>
                      <w:i/>
                      <w:sz w:val="20"/>
                    </w:rPr>
                  </w:pPr>
                  <w:r w:rsidRPr="002E17F6">
                    <w:rPr>
                      <w:b/>
                      <w:i/>
                      <w:sz w:val="20"/>
                    </w:rPr>
                    <w:t>Economic</w:t>
                  </w:r>
                  <w:r>
                    <w:rPr>
                      <w:b/>
                      <w:i/>
                      <w:sz w:val="20"/>
                    </w:rPr>
                    <w:t xml:space="preserve"> effects</w:t>
                  </w:r>
                </w:p>
              </w:tc>
              <w:tc>
                <w:tcPr>
                  <w:tcW w:w="1701" w:type="dxa"/>
                </w:tcPr>
                <w:p w14:paraId="221EDF87" w14:textId="77777777" w:rsidR="00030B0B" w:rsidRDefault="00030B0B" w:rsidP="00A2483D">
                  <w:pPr>
                    <w:pStyle w:val="NoSpacing"/>
                    <w:jc w:val="right"/>
                    <w:rPr>
                      <w:i/>
                      <w:sz w:val="20"/>
                    </w:rPr>
                  </w:pPr>
                  <w:r>
                    <w:rPr>
                      <w:i/>
                      <w:sz w:val="20"/>
                    </w:rPr>
                    <w:t>Positive</w:t>
                  </w:r>
                </w:p>
              </w:tc>
              <w:tc>
                <w:tcPr>
                  <w:tcW w:w="425" w:type="dxa"/>
                  <w:shd w:val="clear" w:color="auto" w:fill="EAF1DD" w:themeFill="accent3" w:themeFillTint="33"/>
                </w:tcPr>
                <w:p w14:paraId="15720D8B" w14:textId="77777777" w:rsidR="00030B0B" w:rsidRDefault="00030B0B" w:rsidP="00A2483D">
                  <w:pPr>
                    <w:pStyle w:val="NoSpacing"/>
                    <w:jc w:val="right"/>
                    <w:rPr>
                      <w:i/>
                      <w:sz w:val="20"/>
                    </w:rPr>
                  </w:pPr>
                </w:p>
              </w:tc>
              <w:tc>
                <w:tcPr>
                  <w:tcW w:w="2268" w:type="dxa"/>
                </w:tcPr>
                <w:p w14:paraId="537E5C9F" w14:textId="77777777" w:rsidR="00030B0B" w:rsidRDefault="00030B0B" w:rsidP="00A2483D">
                  <w:pPr>
                    <w:pStyle w:val="NoSpacing"/>
                    <w:jc w:val="right"/>
                    <w:rPr>
                      <w:i/>
                      <w:sz w:val="20"/>
                    </w:rPr>
                  </w:pPr>
                  <w:r>
                    <w:rPr>
                      <w:i/>
                      <w:sz w:val="20"/>
                    </w:rPr>
                    <w:t>Neutral or mixed</w:t>
                  </w:r>
                </w:p>
              </w:tc>
              <w:tc>
                <w:tcPr>
                  <w:tcW w:w="425" w:type="dxa"/>
                  <w:shd w:val="clear" w:color="auto" w:fill="EAF1DD" w:themeFill="accent3" w:themeFillTint="33"/>
                </w:tcPr>
                <w:p w14:paraId="31B41269" w14:textId="77777777" w:rsidR="00030B0B" w:rsidRDefault="00030B0B" w:rsidP="00A2483D">
                  <w:pPr>
                    <w:pStyle w:val="NoSpacing"/>
                    <w:jc w:val="right"/>
                    <w:rPr>
                      <w:i/>
                      <w:sz w:val="20"/>
                    </w:rPr>
                  </w:pPr>
                </w:p>
              </w:tc>
              <w:tc>
                <w:tcPr>
                  <w:tcW w:w="2002" w:type="dxa"/>
                </w:tcPr>
                <w:p w14:paraId="64330708" w14:textId="77777777" w:rsidR="00030B0B" w:rsidRDefault="00030B0B" w:rsidP="00A2483D">
                  <w:pPr>
                    <w:pStyle w:val="NoSpacing"/>
                    <w:jc w:val="right"/>
                    <w:rPr>
                      <w:i/>
                      <w:sz w:val="20"/>
                    </w:rPr>
                  </w:pPr>
                  <w:r>
                    <w:rPr>
                      <w:i/>
                      <w:sz w:val="20"/>
                    </w:rPr>
                    <w:t>Negative</w:t>
                  </w:r>
                </w:p>
              </w:tc>
              <w:tc>
                <w:tcPr>
                  <w:tcW w:w="408" w:type="dxa"/>
                  <w:shd w:val="clear" w:color="auto" w:fill="EAF1DD" w:themeFill="accent3" w:themeFillTint="33"/>
                </w:tcPr>
                <w:p w14:paraId="14A1A34A" w14:textId="1B77BEEE" w:rsidR="00030B0B" w:rsidRDefault="006435B0" w:rsidP="00A2483D">
                  <w:pPr>
                    <w:pStyle w:val="NoSpacing"/>
                    <w:rPr>
                      <w:i/>
                      <w:sz w:val="20"/>
                    </w:rPr>
                  </w:pPr>
                  <w:r>
                    <w:rPr>
                      <w:i/>
                      <w:sz w:val="20"/>
                    </w:rPr>
                    <w:t>X</w:t>
                  </w:r>
                </w:p>
              </w:tc>
            </w:tr>
          </w:tbl>
          <w:p w14:paraId="1E996801" w14:textId="77777777" w:rsidR="00030B0B" w:rsidRDefault="00030B0B" w:rsidP="00A2483D">
            <w:pPr>
              <w:pStyle w:val="NoSpacing"/>
              <w:rPr>
                <w:i/>
                <w:sz w:val="20"/>
              </w:rPr>
            </w:pPr>
          </w:p>
          <w:p w14:paraId="7E37A98E" w14:textId="77777777" w:rsidR="00030B0B" w:rsidRDefault="00030B0B" w:rsidP="00A2483D">
            <w:pPr>
              <w:pStyle w:val="NoSpacing"/>
              <w:rPr>
                <w:sz w:val="20"/>
              </w:rPr>
            </w:pPr>
            <w:r w:rsidRPr="00C856F5">
              <w:rPr>
                <w:i/>
                <w:sz w:val="20"/>
              </w:rPr>
              <w:t>Rationale</w:t>
            </w:r>
            <w:r>
              <w:rPr>
                <w:sz w:val="20"/>
              </w:rPr>
              <w:t>:</w:t>
            </w:r>
          </w:p>
          <w:p w14:paraId="38709975" w14:textId="18CEF487" w:rsidR="00030B0B" w:rsidRPr="002B6463" w:rsidRDefault="00F86654" w:rsidP="00C73907">
            <w:pPr>
              <w:pStyle w:val="NoSpacing"/>
              <w:rPr>
                <w:sz w:val="20"/>
              </w:rPr>
            </w:pPr>
            <w:r w:rsidRPr="004D77F8">
              <w:t xml:space="preserve">Traps </w:t>
            </w:r>
            <w:r w:rsidR="001E0C03" w:rsidRPr="004D77F8">
              <w:t xml:space="preserve">and barriers </w:t>
            </w:r>
            <w:r w:rsidR="006403A2" w:rsidRPr="004D77F8">
              <w:t xml:space="preserve">can impact native non-target </w:t>
            </w:r>
            <w:r w:rsidR="00FD6EBF" w:rsidRPr="004D77F8">
              <w:t>species</w:t>
            </w:r>
            <w:r w:rsidR="006403A2" w:rsidRPr="004D77F8">
              <w:t xml:space="preserve">, </w:t>
            </w:r>
            <w:r w:rsidR="00CF0966" w:rsidRPr="004D77F8">
              <w:t xml:space="preserve">thus frequent checks are required to avoid this. </w:t>
            </w:r>
            <w:r w:rsidR="00FF4BEE" w:rsidRPr="004D77F8">
              <w:t>An impact on species of fish</w:t>
            </w:r>
            <w:r w:rsidR="00DC1F19" w:rsidRPr="004D77F8">
              <w:t>eries</w:t>
            </w:r>
            <w:r w:rsidR="00FF4BEE" w:rsidRPr="004D77F8">
              <w:t xml:space="preserve"> interest </w:t>
            </w:r>
            <w:r w:rsidR="00C73907">
              <w:t>might</w:t>
            </w:r>
            <w:r w:rsidR="00C73907" w:rsidRPr="004D77F8">
              <w:t xml:space="preserve"> </w:t>
            </w:r>
            <w:r w:rsidR="00784D4F">
              <w:t>occur</w:t>
            </w:r>
            <w:r w:rsidR="00070132" w:rsidRPr="004D77F8">
              <w:t>.</w:t>
            </w:r>
          </w:p>
        </w:tc>
      </w:tr>
      <w:tr w:rsidR="00030B0B" w:rsidRPr="00C75EDD" w14:paraId="23406701" w14:textId="77777777" w:rsidTr="00292074">
        <w:tc>
          <w:tcPr>
            <w:tcW w:w="3295" w:type="dxa"/>
            <w:shd w:val="clear" w:color="auto" w:fill="EAF1DD" w:themeFill="accent3" w:themeFillTint="33"/>
          </w:tcPr>
          <w:p w14:paraId="0F9F818F" w14:textId="77777777" w:rsidR="00030B0B" w:rsidRPr="0039672E" w:rsidRDefault="00030B0B" w:rsidP="00A2483D">
            <w:pPr>
              <w:pStyle w:val="NoSpacing"/>
              <w:rPr>
                <w:b/>
              </w:rPr>
            </w:pPr>
            <w:r w:rsidRPr="0039672E">
              <w:rPr>
                <w:b/>
              </w:rPr>
              <w:t>Acceptability to stakeholders</w:t>
            </w:r>
          </w:p>
          <w:p w14:paraId="753A011F" w14:textId="77777777" w:rsidR="00030B0B" w:rsidRDefault="00030B0B" w:rsidP="00A2483D">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4D49E89D" w14:textId="77777777" w:rsidR="00030B0B" w:rsidRDefault="00030B0B" w:rsidP="00A2483D">
            <w:pPr>
              <w:pStyle w:val="NoSpacing"/>
              <w:rPr>
                <w:sz w:val="20"/>
              </w:rPr>
            </w:pPr>
          </w:p>
          <w:p w14:paraId="276DADAC" w14:textId="77777777" w:rsidR="00030B0B" w:rsidRPr="002B6463" w:rsidRDefault="00030B0B" w:rsidP="00A2483D">
            <w:pPr>
              <w:pStyle w:val="NoSpacing"/>
              <w:rPr>
                <w:sz w:val="20"/>
              </w:rPr>
            </w:pPr>
            <w:r>
              <w:rPr>
                <w:sz w:val="20"/>
              </w:rPr>
              <w:t xml:space="preserve">Please select one of the categories of acceptability (with an ‘X’), and </w:t>
            </w:r>
            <w:r>
              <w:rPr>
                <w:sz w:val="20"/>
              </w:rPr>
              <w:lastRenderedPageBreak/>
              <w:t>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030B0B" w14:paraId="2D986C5D" w14:textId="77777777" w:rsidTr="00292074">
              <w:tc>
                <w:tcPr>
                  <w:tcW w:w="2116" w:type="dxa"/>
                </w:tcPr>
                <w:p w14:paraId="35AC62C5" w14:textId="77777777" w:rsidR="00030B0B" w:rsidRPr="002E17F6" w:rsidRDefault="00030B0B" w:rsidP="00A2483D">
                  <w:pPr>
                    <w:pStyle w:val="NoSpacing"/>
                    <w:rPr>
                      <w:b/>
                      <w:i/>
                      <w:sz w:val="20"/>
                    </w:rPr>
                  </w:pPr>
                  <w:r w:rsidRPr="002E17F6">
                    <w:rPr>
                      <w:b/>
                      <w:i/>
                      <w:sz w:val="20"/>
                    </w:rPr>
                    <w:lastRenderedPageBreak/>
                    <w:t>Acceptability to stakeholders</w:t>
                  </w:r>
                </w:p>
              </w:tc>
              <w:tc>
                <w:tcPr>
                  <w:tcW w:w="1701" w:type="dxa"/>
                </w:tcPr>
                <w:p w14:paraId="3155FDC1" w14:textId="77777777" w:rsidR="00030B0B" w:rsidRDefault="00030B0B" w:rsidP="00A2483D">
                  <w:pPr>
                    <w:pStyle w:val="NoSpacing"/>
                    <w:jc w:val="right"/>
                    <w:rPr>
                      <w:i/>
                      <w:sz w:val="20"/>
                    </w:rPr>
                  </w:pPr>
                  <w:r>
                    <w:rPr>
                      <w:i/>
                      <w:sz w:val="20"/>
                    </w:rPr>
                    <w:t>Acceptable</w:t>
                  </w:r>
                </w:p>
              </w:tc>
              <w:tc>
                <w:tcPr>
                  <w:tcW w:w="425" w:type="dxa"/>
                  <w:shd w:val="clear" w:color="auto" w:fill="EAF1DD" w:themeFill="accent3" w:themeFillTint="33"/>
                </w:tcPr>
                <w:p w14:paraId="4AF494F4" w14:textId="77777777" w:rsidR="00030B0B" w:rsidRDefault="00030B0B" w:rsidP="00A2483D">
                  <w:pPr>
                    <w:pStyle w:val="NoSpacing"/>
                    <w:jc w:val="right"/>
                    <w:rPr>
                      <w:i/>
                      <w:sz w:val="20"/>
                    </w:rPr>
                  </w:pPr>
                </w:p>
              </w:tc>
              <w:tc>
                <w:tcPr>
                  <w:tcW w:w="2268" w:type="dxa"/>
                </w:tcPr>
                <w:p w14:paraId="24032531" w14:textId="77777777" w:rsidR="00030B0B" w:rsidRDefault="00030B0B" w:rsidP="00A2483D">
                  <w:pPr>
                    <w:pStyle w:val="NoSpacing"/>
                    <w:jc w:val="right"/>
                    <w:rPr>
                      <w:i/>
                      <w:sz w:val="20"/>
                    </w:rPr>
                  </w:pPr>
                  <w:r>
                    <w:rPr>
                      <w:i/>
                      <w:sz w:val="20"/>
                    </w:rPr>
                    <w:t>Neutral or mixed</w:t>
                  </w:r>
                </w:p>
              </w:tc>
              <w:tc>
                <w:tcPr>
                  <w:tcW w:w="425" w:type="dxa"/>
                  <w:shd w:val="clear" w:color="auto" w:fill="EAF1DD" w:themeFill="accent3" w:themeFillTint="33"/>
                </w:tcPr>
                <w:p w14:paraId="27B68665" w14:textId="5557A06F" w:rsidR="00030B0B" w:rsidRDefault="006435B0" w:rsidP="00A2483D">
                  <w:pPr>
                    <w:pStyle w:val="NoSpacing"/>
                    <w:jc w:val="right"/>
                    <w:rPr>
                      <w:i/>
                      <w:sz w:val="20"/>
                    </w:rPr>
                  </w:pPr>
                  <w:r>
                    <w:rPr>
                      <w:i/>
                      <w:sz w:val="20"/>
                    </w:rPr>
                    <w:t>X</w:t>
                  </w:r>
                </w:p>
              </w:tc>
              <w:tc>
                <w:tcPr>
                  <w:tcW w:w="2002" w:type="dxa"/>
                </w:tcPr>
                <w:p w14:paraId="204E9002" w14:textId="77777777" w:rsidR="00030B0B" w:rsidRDefault="00030B0B" w:rsidP="00A2483D">
                  <w:pPr>
                    <w:pStyle w:val="NoSpacing"/>
                    <w:jc w:val="right"/>
                    <w:rPr>
                      <w:i/>
                      <w:sz w:val="20"/>
                    </w:rPr>
                  </w:pPr>
                  <w:r>
                    <w:rPr>
                      <w:i/>
                      <w:sz w:val="20"/>
                    </w:rPr>
                    <w:t>Unacceptable</w:t>
                  </w:r>
                </w:p>
              </w:tc>
              <w:tc>
                <w:tcPr>
                  <w:tcW w:w="408" w:type="dxa"/>
                  <w:shd w:val="clear" w:color="auto" w:fill="EAF1DD" w:themeFill="accent3" w:themeFillTint="33"/>
                </w:tcPr>
                <w:p w14:paraId="00F762DD" w14:textId="77777777" w:rsidR="00030B0B" w:rsidRDefault="00030B0B" w:rsidP="00A2483D">
                  <w:pPr>
                    <w:pStyle w:val="NoSpacing"/>
                    <w:rPr>
                      <w:i/>
                      <w:sz w:val="20"/>
                    </w:rPr>
                  </w:pPr>
                </w:p>
              </w:tc>
            </w:tr>
          </w:tbl>
          <w:p w14:paraId="4B81E87A" w14:textId="77777777" w:rsidR="00030B0B" w:rsidRDefault="00030B0B" w:rsidP="00A2483D">
            <w:pPr>
              <w:pStyle w:val="NoSpacing"/>
              <w:rPr>
                <w:i/>
                <w:sz w:val="20"/>
              </w:rPr>
            </w:pPr>
          </w:p>
          <w:p w14:paraId="51C07A9B" w14:textId="77777777" w:rsidR="00030B0B" w:rsidRDefault="00030B0B" w:rsidP="00A2483D">
            <w:pPr>
              <w:pStyle w:val="NoSpacing"/>
              <w:rPr>
                <w:sz w:val="20"/>
              </w:rPr>
            </w:pPr>
            <w:r w:rsidRPr="00C856F5">
              <w:rPr>
                <w:i/>
                <w:sz w:val="20"/>
              </w:rPr>
              <w:t>Rationale</w:t>
            </w:r>
            <w:r>
              <w:rPr>
                <w:sz w:val="20"/>
              </w:rPr>
              <w:t>:</w:t>
            </w:r>
          </w:p>
          <w:p w14:paraId="602C6C37" w14:textId="626FEDD5" w:rsidR="00030B0B" w:rsidRPr="00C75EDD" w:rsidRDefault="00FD6EBF" w:rsidP="00C73907">
            <w:pPr>
              <w:pStyle w:val="NoSpacing"/>
              <w:rPr>
                <w:sz w:val="20"/>
              </w:rPr>
            </w:pPr>
            <w:r w:rsidRPr="004D77F8">
              <w:t xml:space="preserve">The possible impacts on native species </w:t>
            </w:r>
            <w:r w:rsidR="00C31798" w:rsidRPr="004D77F8">
              <w:t xml:space="preserve">(especially on </w:t>
            </w:r>
            <w:r w:rsidR="00DC1F19" w:rsidRPr="004D77F8">
              <w:t xml:space="preserve">species of fisheries interest) </w:t>
            </w:r>
            <w:r w:rsidRPr="004D77F8">
              <w:t xml:space="preserve">can elicit concern </w:t>
            </w:r>
            <w:r w:rsidR="00C73907">
              <w:t>to</w:t>
            </w:r>
            <w:r w:rsidR="00C73907" w:rsidRPr="004D77F8">
              <w:t xml:space="preserve"> </w:t>
            </w:r>
            <w:r w:rsidRPr="004D77F8">
              <w:t xml:space="preserve">some stakeholders. </w:t>
            </w:r>
          </w:p>
        </w:tc>
      </w:tr>
      <w:tr w:rsidR="00030B0B" w14:paraId="4ADEF857" w14:textId="77777777" w:rsidTr="00292074">
        <w:tc>
          <w:tcPr>
            <w:tcW w:w="3295" w:type="dxa"/>
            <w:shd w:val="clear" w:color="auto" w:fill="EAF1DD" w:themeFill="accent3" w:themeFillTint="33"/>
          </w:tcPr>
          <w:p w14:paraId="78BC4FDA" w14:textId="77777777" w:rsidR="00030B0B" w:rsidRPr="0039672E" w:rsidRDefault="00030B0B" w:rsidP="00A2483D">
            <w:pPr>
              <w:pStyle w:val="NoSpacing"/>
              <w:rPr>
                <w:b/>
              </w:rPr>
            </w:pPr>
            <w:r w:rsidRPr="0039672E">
              <w:rPr>
                <w:b/>
              </w:rPr>
              <w:t>Additional cost information</w:t>
            </w:r>
            <w:r>
              <w:rPr>
                <w:b/>
              </w:rPr>
              <w:t xml:space="preserve"> </w:t>
            </w:r>
            <w:r>
              <w:rPr>
                <w:b/>
                <w:vertAlign w:val="superscript"/>
              </w:rPr>
              <w:t>1</w:t>
            </w:r>
          </w:p>
          <w:p w14:paraId="6B504AC4" w14:textId="77777777" w:rsidR="00030B0B" w:rsidRDefault="00030B0B" w:rsidP="00A2483D">
            <w:pPr>
              <w:rPr>
                <w:sz w:val="20"/>
              </w:rPr>
            </w:pPr>
            <w:r>
              <w:rPr>
                <w:sz w:val="20"/>
              </w:rPr>
              <w:t xml:space="preserve">When not already included above, or in the species Risk Assessment. </w:t>
            </w:r>
          </w:p>
          <w:p w14:paraId="025122B0" w14:textId="77777777" w:rsidR="00030B0B" w:rsidRPr="00E662A4" w:rsidRDefault="00030B0B" w:rsidP="00A2483D">
            <w:pPr>
              <w:rPr>
                <w:sz w:val="20"/>
              </w:rPr>
            </w:pPr>
            <w:r>
              <w:rPr>
                <w:sz w:val="20"/>
              </w:rPr>
              <w:t xml:space="preserve">- </w:t>
            </w:r>
            <w:r w:rsidRPr="00E662A4">
              <w:rPr>
                <w:sz w:val="20"/>
              </w:rPr>
              <w:t>implementation cost for Member States</w:t>
            </w:r>
          </w:p>
          <w:p w14:paraId="7DAC798C" w14:textId="77777777" w:rsidR="00030B0B" w:rsidRPr="00E662A4" w:rsidRDefault="00030B0B" w:rsidP="00A2483D">
            <w:pPr>
              <w:rPr>
                <w:sz w:val="20"/>
              </w:rPr>
            </w:pPr>
            <w:r>
              <w:rPr>
                <w:sz w:val="20"/>
              </w:rPr>
              <w:t xml:space="preserve">- </w:t>
            </w:r>
            <w:r w:rsidRPr="00E662A4">
              <w:rPr>
                <w:sz w:val="20"/>
              </w:rPr>
              <w:t>the cost of inaction</w:t>
            </w:r>
          </w:p>
          <w:p w14:paraId="5CBFF83B" w14:textId="77777777" w:rsidR="00030B0B" w:rsidRPr="00E662A4" w:rsidRDefault="00030B0B" w:rsidP="00A2483D">
            <w:pPr>
              <w:rPr>
                <w:sz w:val="20"/>
              </w:rPr>
            </w:pPr>
            <w:r>
              <w:rPr>
                <w:sz w:val="20"/>
              </w:rPr>
              <w:t xml:space="preserve">- </w:t>
            </w:r>
            <w:r w:rsidRPr="00E662A4">
              <w:rPr>
                <w:sz w:val="20"/>
              </w:rPr>
              <w:t>the cost-effectiveness</w:t>
            </w:r>
          </w:p>
          <w:p w14:paraId="1E8DDEF6" w14:textId="77777777" w:rsidR="00030B0B" w:rsidRDefault="00030B0B" w:rsidP="00A2483D">
            <w:pPr>
              <w:pStyle w:val="NoSpacing"/>
              <w:rPr>
                <w:sz w:val="20"/>
              </w:rPr>
            </w:pPr>
            <w:r>
              <w:rPr>
                <w:sz w:val="20"/>
              </w:rPr>
              <w:t xml:space="preserve">- </w:t>
            </w:r>
            <w:r w:rsidRPr="00E662A4">
              <w:rPr>
                <w:sz w:val="20"/>
              </w:rPr>
              <w:t>the socio-economic aspects</w:t>
            </w:r>
          </w:p>
          <w:p w14:paraId="43AF4262" w14:textId="77777777" w:rsidR="00FD0D4D" w:rsidRDefault="00FD0D4D" w:rsidP="00A2483D">
            <w:pPr>
              <w:pStyle w:val="NoSpacing"/>
              <w:rPr>
                <w:sz w:val="20"/>
              </w:rPr>
            </w:pPr>
          </w:p>
          <w:p w14:paraId="4BA2D077" w14:textId="35927A3A" w:rsidR="00FD0D4D" w:rsidRPr="002B6463" w:rsidRDefault="00FD0D4D" w:rsidP="00A2483D">
            <w:pPr>
              <w:pStyle w:val="NoSpacing"/>
              <w:rPr>
                <w:sz w:val="20"/>
              </w:rPr>
            </w:pPr>
            <w:r>
              <w:rPr>
                <w:sz w:val="20"/>
              </w:rPr>
              <w:t>Include quantitative &amp;/or qualitative data, and case studies (incl. from countries outside the EU).</w:t>
            </w:r>
          </w:p>
        </w:tc>
        <w:tc>
          <w:tcPr>
            <w:tcW w:w="10653" w:type="dxa"/>
          </w:tcPr>
          <w:p w14:paraId="402447B0" w14:textId="0EA6214E" w:rsidR="00030B0B" w:rsidRDefault="0025686D" w:rsidP="00C73907">
            <w:pPr>
              <w:pStyle w:val="NoSpacing"/>
              <w:rPr>
                <w:sz w:val="20"/>
              </w:rPr>
            </w:pPr>
            <w:r w:rsidRPr="004D77F8">
              <w:t xml:space="preserve">Cost-effectiveness of this measure for eradicating the species seems to be </w:t>
            </w:r>
            <w:r w:rsidR="00DC4982">
              <w:t>low due to high</w:t>
            </w:r>
            <w:r w:rsidRPr="004D77F8">
              <w:t xml:space="preserve"> costs. However, it can be applied to manage </w:t>
            </w:r>
            <w:r w:rsidR="00784D4F">
              <w:t xml:space="preserve">the </w:t>
            </w:r>
            <w:r w:rsidR="006349EC" w:rsidRPr="004D77F8">
              <w:t xml:space="preserve">species, limiting its spread. The cost of inaction would be high, because the species </w:t>
            </w:r>
            <w:r w:rsidR="00C73907">
              <w:t>would then</w:t>
            </w:r>
            <w:r w:rsidR="00683BB0" w:rsidRPr="004D77F8">
              <w:t xml:space="preserve"> spread, causing increased impacts.</w:t>
            </w:r>
          </w:p>
        </w:tc>
      </w:tr>
      <w:tr w:rsidR="00030B0B" w14:paraId="6F6A9609" w14:textId="77777777" w:rsidTr="00292074">
        <w:tc>
          <w:tcPr>
            <w:tcW w:w="3295" w:type="dxa"/>
            <w:tcBorders>
              <w:bottom w:val="single" w:sz="4" w:space="0" w:color="auto"/>
            </w:tcBorders>
            <w:shd w:val="clear" w:color="auto" w:fill="EAF1DD" w:themeFill="accent3" w:themeFillTint="33"/>
          </w:tcPr>
          <w:p w14:paraId="63533077" w14:textId="77777777" w:rsidR="00C81F1E" w:rsidRDefault="00C81F1E" w:rsidP="00C81F1E">
            <w:pPr>
              <w:pStyle w:val="NoSpacing"/>
              <w:rPr>
                <w:b/>
              </w:rPr>
            </w:pPr>
            <w:r w:rsidRPr="002B6463">
              <w:rPr>
                <w:b/>
              </w:rPr>
              <w:t>Level of confidence</w:t>
            </w:r>
            <w:r>
              <w:rPr>
                <w:b/>
              </w:rPr>
              <w:t xml:space="preserve"> on the information provided </w:t>
            </w:r>
            <w:r>
              <w:rPr>
                <w:b/>
                <w:vertAlign w:val="superscript"/>
              </w:rPr>
              <w:t>2</w:t>
            </w:r>
          </w:p>
          <w:p w14:paraId="09772C09" w14:textId="77777777" w:rsidR="00C81F1E" w:rsidRDefault="00C81F1E" w:rsidP="00C81F1E">
            <w:pPr>
              <w:pStyle w:val="NoSpacing"/>
              <w:rPr>
                <w:rFonts w:eastAsia="Times New Roman" w:cstheme="minorHAnsi"/>
                <w:b/>
                <w:sz w:val="20"/>
                <w:szCs w:val="20"/>
              </w:rPr>
            </w:pPr>
          </w:p>
          <w:p w14:paraId="3BE110D7" w14:textId="77777777" w:rsidR="00C81F1E" w:rsidRPr="00DE32F5" w:rsidRDefault="00C81F1E" w:rsidP="00C81F1E">
            <w:pPr>
              <w:pStyle w:val="NoSpacing"/>
              <w:rPr>
                <w:sz w:val="20"/>
              </w:rPr>
            </w:pPr>
            <w:r w:rsidRPr="00DF3987">
              <w:rPr>
                <w:rFonts w:eastAsia="Times New Roman" w:cstheme="minorHAnsi"/>
                <w:sz w:val="20"/>
                <w:szCs w:val="20"/>
              </w:rPr>
              <w:t xml:space="preserve">Please </w:t>
            </w:r>
            <w:r>
              <w:rPr>
                <w:rFonts w:eastAsia="Times New Roman" w:cstheme="minorHAnsi"/>
                <w:sz w:val="20"/>
                <w:szCs w:val="20"/>
              </w:rPr>
              <w:t>select</w:t>
            </w:r>
            <w:r w:rsidRPr="00DF3987">
              <w:rPr>
                <w:rFonts w:eastAsia="Times New Roman" w:cstheme="minorHAnsi"/>
                <w:sz w:val="20"/>
                <w:szCs w:val="20"/>
              </w:rPr>
              <w:t xml:space="preserve"> one of</w:t>
            </w:r>
            <w:r>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53679EE9" w14:textId="444FCB17" w:rsidR="00030B0B" w:rsidRDefault="00C81F1E" w:rsidP="00C81F1E">
            <w:pPr>
              <w:pStyle w:val="NoSpacing"/>
              <w:rPr>
                <w:sz w:val="20"/>
              </w:rPr>
            </w:pPr>
            <w:r>
              <w:rPr>
                <w:rFonts w:eastAsia="Times New Roman" w:cstheme="minorHAnsi"/>
                <w:b/>
                <w:sz w:val="20"/>
                <w:szCs w:val="20"/>
              </w:rPr>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C81F1E" w14:paraId="2E205522" w14:textId="77777777" w:rsidTr="00C81F1E">
              <w:tc>
                <w:tcPr>
                  <w:tcW w:w="2024" w:type="dxa"/>
                </w:tcPr>
                <w:p w14:paraId="68BC77C5" w14:textId="77777777" w:rsidR="00C81F1E" w:rsidRPr="007C64EE" w:rsidRDefault="00C81F1E" w:rsidP="00C81F1E">
                  <w:pPr>
                    <w:pStyle w:val="NoSpacing"/>
                    <w:rPr>
                      <w:i/>
                      <w:sz w:val="20"/>
                    </w:rPr>
                  </w:pPr>
                  <w:r>
                    <w:rPr>
                      <w:i/>
                      <w:sz w:val="20"/>
                    </w:rPr>
                    <w:t>Inconclusive</w:t>
                  </w:r>
                </w:p>
              </w:tc>
              <w:tc>
                <w:tcPr>
                  <w:tcW w:w="375" w:type="dxa"/>
                  <w:shd w:val="clear" w:color="auto" w:fill="EAF1DD" w:themeFill="accent3" w:themeFillTint="33"/>
                </w:tcPr>
                <w:p w14:paraId="214BA4F9" w14:textId="12F725A5" w:rsidR="00C81F1E" w:rsidRDefault="004E060F" w:rsidP="00C81F1E">
                  <w:pPr>
                    <w:pStyle w:val="NoSpacing"/>
                    <w:jc w:val="right"/>
                    <w:rPr>
                      <w:i/>
                      <w:sz w:val="20"/>
                    </w:rPr>
                  </w:pPr>
                  <w:r>
                    <w:rPr>
                      <w:i/>
                      <w:sz w:val="20"/>
                    </w:rPr>
                    <w:t>X</w:t>
                  </w:r>
                </w:p>
              </w:tc>
              <w:tc>
                <w:tcPr>
                  <w:tcW w:w="1559" w:type="dxa"/>
                </w:tcPr>
                <w:p w14:paraId="6E04A737" w14:textId="77777777" w:rsidR="00C81F1E" w:rsidRDefault="00C81F1E" w:rsidP="00C81F1E">
                  <w:pPr>
                    <w:pStyle w:val="NoSpacing"/>
                    <w:jc w:val="right"/>
                    <w:rPr>
                      <w:i/>
                      <w:sz w:val="20"/>
                    </w:rPr>
                  </w:pPr>
                  <w:r>
                    <w:rPr>
                      <w:i/>
                      <w:sz w:val="20"/>
                    </w:rPr>
                    <w:t>Unresolved</w:t>
                  </w:r>
                </w:p>
              </w:tc>
              <w:tc>
                <w:tcPr>
                  <w:tcW w:w="426" w:type="dxa"/>
                  <w:shd w:val="clear" w:color="auto" w:fill="EAF1DD" w:themeFill="accent3" w:themeFillTint="33"/>
                </w:tcPr>
                <w:p w14:paraId="438FE31D" w14:textId="77777777" w:rsidR="00C81F1E" w:rsidRDefault="00C81F1E" w:rsidP="00C81F1E">
                  <w:pPr>
                    <w:pStyle w:val="NoSpacing"/>
                    <w:jc w:val="right"/>
                    <w:rPr>
                      <w:i/>
                      <w:sz w:val="20"/>
                    </w:rPr>
                  </w:pPr>
                </w:p>
              </w:tc>
              <w:tc>
                <w:tcPr>
                  <w:tcW w:w="2126" w:type="dxa"/>
                </w:tcPr>
                <w:p w14:paraId="0208AC60" w14:textId="77777777" w:rsidR="00C81F1E" w:rsidRDefault="00C81F1E" w:rsidP="00C81F1E">
                  <w:pPr>
                    <w:pStyle w:val="NoSpacing"/>
                    <w:jc w:val="right"/>
                    <w:rPr>
                      <w:i/>
                      <w:sz w:val="20"/>
                    </w:rPr>
                  </w:pPr>
                  <w:r>
                    <w:rPr>
                      <w:i/>
                      <w:sz w:val="20"/>
                    </w:rPr>
                    <w:t>Established but incomplete</w:t>
                  </w:r>
                </w:p>
              </w:tc>
              <w:tc>
                <w:tcPr>
                  <w:tcW w:w="425" w:type="dxa"/>
                  <w:shd w:val="clear" w:color="auto" w:fill="EAF1DD" w:themeFill="accent3" w:themeFillTint="33"/>
                </w:tcPr>
                <w:p w14:paraId="21C99460" w14:textId="77777777" w:rsidR="00C81F1E" w:rsidRDefault="00C81F1E" w:rsidP="00C81F1E">
                  <w:pPr>
                    <w:pStyle w:val="NoSpacing"/>
                    <w:jc w:val="right"/>
                    <w:rPr>
                      <w:i/>
                      <w:sz w:val="20"/>
                    </w:rPr>
                  </w:pPr>
                </w:p>
              </w:tc>
              <w:tc>
                <w:tcPr>
                  <w:tcW w:w="2268" w:type="dxa"/>
                </w:tcPr>
                <w:p w14:paraId="4D4DF4E1" w14:textId="77777777" w:rsidR="00C81F1E" w:rsidRDefault="00C81F1E" w:rsidP="00C81F1E">
                  <w:pPr>
                    <w:pStyle w:val="NoSpacing"/>
                    <w:jc w:val="right"/>
                    <w:rPr>
                      <w:i/>
                      <w:sz w:val="20"/>
                    </w:rPr>
                  </w:pPr>
                  <w:r>
                    <w:rPr>
                      <w:i/>
                      <w:sz w:val="20"/>
                    </w:rPr>
                    <w:t>Well established</w:t>
                  </w:r>
                </w:p>
              </w:tc>
              <w:tc>
                <w:tcPr>
                  <w:tcW w:w="425" w:type="dxa"/>
                  <w:shd w:val="clear" w:color="auto" w:fill="EAF1DD" w:themeFill="accent3" w:themeFillTint="33"/>
                </w:tcPr>
                <w:p w14:paraId="42B82997" w14:textId="77777777" w:rsidR="00C81F1E" w:rsidRDefault="00C81F1E" w:rsidP="00C81F1E">
                  <w:pPr>
                    <w:pStyle w:val="NoSpacing"/>
                    <w:rPr>
                      <w:i/>
                      <w:sz w:val="20"/>
                    </w:rPr>
                  </w:pPr>
                </w:p>
              </w:tc>
            </w:tr>
          </w:tbl>
          <w:p w14:paraId="3E16CE4C" w14:textId="77777777" w:rsidR="00C81F1E" w:rsidRDefault="00C81F1E" w:rsidP="00C81F1E">
            <w:pPr>
              <w:pStyle w:val="NoSpacing"/>
              <w:rPr>
                <w:i/>
                <w:sz w:val="20"/>
              </w:rPr>
            </w:pPr>
          </w:p>
          <w:p w14:paraId="0BF50E6F" w14:textId="77777777" w:rsidR="00C81F1E" w:rsidRDefault="00C81F1E" w:rsidP="00C81F1E">
            <w:pPr>
              <w:pStyle w:val="NoSpacing"/>
              <w:rPr>
                <w:sz w:val="20"/>
              </w:rPr>
            </w:pPr>
            <w:r w:rsidRPr="00C856F5">
              <w:rPr>
                <w:i/>
                <w:sz w:val="20"/>
              </w:rPr>
              <w:t>Rationale</w:t>
            </w:r>
            <w:r>
              <w:rPr>
                <w:sz w:val="20"/>
              </w:rPr>
              <w:t>:</w:t>
            </w:r>
          </w:p>
          <w:p w14:paraId="494822C4" w14:textId="41A72CCB" w:rsidR="00030B0B" w:rsidRPr="00D61023" w:rsidRDefault="004E1D2B" w:rsidP="00C73907">
            <w:pPr>
              <w:pStyle w:val="NoSpacing"/>
              <w:rPr>
                <w:sz w:val="20"/>
                <w:szCs w:val="20"/>
              </w:rPr>
            </w:pPr>
            <w:r w:rsidRPr="004D77F8">
              <w:rPr>
                <w:szCs w:val="20"/>
              </w:rPr>
              <w:t>Eradica</w:t>
            </w:r>
            <w:r w:rsidR="00007001" w:rsidRPr="004D77F8">
              <w:rPr>
                <w:szCs w:val="20"/>
              </w:rPr>
              <w:t>tion of this species has never been rep</w:t>
            </w:r>
            <w:r w:rsidR="00A81A3E" w:rsidRPr="004D77F8">
              <w:rPr>
                <w:szCs w:val="20"/>
              </w:rPr>
              <w:t xml:space="preserve">orted, </w:t>
            </w:r>
            <w:r w:rsidR="00D61023" w:rsidRPr="004D77F8">
              <w:rPr>
                <w:szCs w:val="20"/>
              </w:rPr>
              <w:t xml:space="preserve">so </w:t>
            </w:r>
            <w:r w:rsidR="0098454C" w:rsidRPr="004D77F8">
              <w:rPr>
                <w:szCs w:val="20"/>
              </w:rPr>
              <w:t xml:space="preserve">there is no agreement on this measure as </w:t>
            </w:r>
            <w:r w:rsidR="00C73907">
              <w:rPr>
                <w:szCs w:val="20"/>
              </w:rPr>
              <w:t xml:space="preserve">an </w:t>
            </w:r>
            <w:r w:rsidR="0098454C" w:rsidRPr="004D77F8">
              <w:rPr>
                <w:szCs w:val="20"/>
              </w:rPr>
              <w:t xml:space="preserve">eradication </w:t>
            </w:r>
            <w:r w:rsidR="00C73907">
              <w:rPr>
                <w:szCs w:val="20"/>
              </w:rPr>
              <w:t>technique</w:t>
            </w:r>
            <w:r w:rsidR="0098454C" w:rsidRPr="004D77F8">
              <w:rPr>
                <w:szCs w:val="20"/>
              </w:rPr>
              <w:t>.</w:t>
            </w:r>
            <w:r w:rsidR="00A94EE1" w:rsidRPr="004D77F8">
              <w:rPr>
                <w:szCs w:val="20"/>
              </w:rPr>
              <w:t xml:space="preserve"> It can</w:t>
            </w:r>
            <w:r w:rsidR="00C73907">
              <w:rPr>
                <w:szCs w:val="20"/>
              </w:rPr>
              <w:t>, however,</w:t>
            </w:r>
            <w:r w:rsidR="00A94EE1" w:rsidRPr="004D77F8">
              <w:rPr>
                <w:szCs w:val="20"/>
              </w:rPr>
              <w:t xml:space="preserve"> be used for managing the species.</w:t>
            </w:r>
          </w:p>
        </w:tc>
      </w:tr>
    </w:tbl>
    <w:p w14:paraId="1F3C0988" w14:textId="77777777" w:rsidR="00030B0B" w:rsidRDefault="00030B0B"/>
    <w:p w14:paraId="5917D311" w14:textId="77777777" w:rsidR="00B828D9" w:rsidRDefault="00B828D9"/>
    <w:tbl>
      <w:tblPr>
        <w:tblStyle w:val="TableGrid"/>
        <w:tblW w:w="0" w:type="auto"/>
        <w:tblLook w:val="04A0" w:firstRow="1" w:lastRow="0" w:firstColumn="1" w:lastColumn="0" w:noHBand="0" w:noVBand="1"/>
      </w:tblPr>
      <w:tblGrid>
        <w:gridCol w:w="3295"/>
        <w:gridCol w:w="10653"/>
      </w:tblGrid>
      <w:tr w:rsidR="00B828D9" w:rsidRPr="00EA4F7D" w14:paraId="332AC2C3" w14:textId="77777777" w:rsidTr="00292074">
        <w:tc>
          <w:tcPr>
            <w:tcW w:w="13948" w:type="dxa"/>
            <w:gridSpan w:val="2"/>
            <w:shd w:val="clear" w:color="auto" w:fill="FABF8F" w:themeFill="accent6" w:themeFillTint="99"/>
          </w:tcPr>
          <w:p w14:paraId="0209205A" w14:textId="0473C5D4" w:rsidR="00B828D9" w:rsidRPr="00EA4F7D" w:rsidRDefault="00B828D9" w:rsidP="00A2483D">
            <w:pPr>
              <w:pStyle w:val="NoSpacing"/>
              <w:rPr>
                <w:sz w:val="24"/>
                <w:szCs w:val="24"/>
              </w:rPr>
            </w:pPr>
            <w:r w:rsidRPr="00B97BD3">
              <w:rPr>
                <w:rFonts w:eastAsia="Times New Roman"/>
                <w:b/>
                <w:sz w:val="28"/>
              </w:rPr>
              <w:t>Management</w:t>
            </w:r>
            <w:r w:rsidRPr="00B97BD3">
              <w:rPr>
                <w:rFonts w:eastAsia="Times New Roman"/>
                <w:b/>
                <w:sz w:val="28"/>
                <w:vertAlign w:val="superscript"/>
              </w:rPr>
              <w:t xml:space="preserve"> </w:t>
            </w:r>
            <w:r w:rsidRPr="002B6463">
              <w:rPr>
                <w:sz w:val="20"/>
              </w:rPr>
              <w:t xml:space="preserve">- </w:t>
            </w:r>
            <w:r w:rsidRPr="00280410">
              <w:rPr>
                <w:rFonts w:cstheme="minorHAnsi"/>
                <w:sz w:val="20"/>
                <w:szCs w:val="20"/>
              </w:rPr>
              <w:t>Measures to achieve management</w:t>
            </w:r>
            <w:r>
              <w:rPr>
                <w:rFonts w:cstheme="minorHAnsi"/>
                <w:sz w:val="20"/>
                <w:szCs w:val="20"/>
              </w:rPr>
              <w:t xml:space="preserve"> of the species once it has become widely spread within a Member State, </w:t>
            </w:r>
            <w:r w:rsidRPr="00280410">
              <w:rPr>
                <w:rFonts w:cstheme="minorHAnsi"/>
                <w:sz w:val="20"/>
                <w:szCs w:val="20"/>
              </w:rPr>
              <w:t>or part of a Member State’s territory.  (cf. Article 19)</w:t>
            </w:r>
            <w:r>
              <w:rPr>
                <w:rFonts w:cstheme="minorHAnsi"/>
                <w:sz w:val="20"/>
                <w:szCs w:val="20"/>
              </w:rPr>
              <w:t xml:space="preserve">, i.e. </w:t>
            </w:r>
            <w:r w:rsidRPr="00A2483D">
              <w:rPr>
                <w:rFonts w:cstheme="minorHAnsi"/>
                <w:b/>
                <w:sz w:val="20"/>
                <w:szCs w:val="20"/>
              </w:rPr>
              <w:t>not</w:t>
            </w:r>
            <w:r>
              <w:rPr>
                <w:rFonts w:cstheme="minorHAnsi"/>
                <w:sz w:val="20"/>
                <w:szCs w:val="20"/>
              </w:rPr>
              <w:t xml:space="preserve"> at an early stage of invasion (see Rapid eradication table above)</w:t>
            </w:r>
            <w:r w:rsidRPr="00280410">
              <w:rPr>
                <w:rFonts w:cstheme="minorHAnsi"/>
                <w:sz w:val="20"/>
                <w:szCs w:val="20"/>
              </w:rPr>
              <w:t xml:space="preserve">. </w:t>
            </w:r>
            <w:r>
              <w:rPr>
                <w:rFonts w:cstheme="minorHAnsi"/>
                <w:sz w:val="20"/>
                <w:szCs w:val="20"/>
              </w:rPr>
              <w:t>These measures can be aimed at eradication, population control or containment of a population of the species.</w:t>
            </w:r>
            <w:r w:rsidRPr="00280410">
              <w:rPr>
                <w:rFonts w:cstheme="minorHAnsi"/>
                <w:sz w:val="20"/>
                <w:szCs w:val="20"/>
              </w:rPr>
              <w:t xml:space="preserve"> </w:t>
            </w:r>
            <w:r>
              <w:rPr>
                <w:rFonts w:cstheme="minorHAnsi"/>
                <w:b/>
                <w:sz w:val="20"/>
                <w:szCs w:val="24"/>
              </w:rPr>
              <w:t>T</w:t>
            </w:r>
            <w:r w:rsidRPr="00280410">
              <w:rPr>
                <w:rFonts w:cstheme="minorHAnsi"/>
                <w:b/>
                <w:sz w:val="20"/>
                <w:szCs w:val="24"/>
              </w:rPr>
              <w:t xml:space="preserve">his table </w:t>
            </w:r>
            <w:r>
              <w:rPr>
                <w:rFonts w:cstheme="minorHAnsi"/>
                <w:b/>
                <w:sz w:val="20"/>
                <w:szCs w:val="24"/>
              </w:rPr>
              <w:t>is repeated for each of the</w:t>
            </w:r>
            <w:r w:rsidRPr="00280410">
              <w:rPr>
                <w:rFonts w:cstheme="minorHAnsi"/>
                <w:b/>
                <w:sz w:val="20"/>
                <w:szCs w:val="24"/>
              </w:rPr>
              <w:t xml:space="preserve"> management measures</w:t>
            </w:r>
            <w:r>
              <w:rPr>
                <w:rFonts w:cstheme="minorHAnsi"/>
                <w:b/>
                <w:sz w:val="20"/>
                <w:szCs w:val="24"/>
              </w:rPr>
              <w:t xml:space="preserve"> identified</w:t>
            </w:r>
            <w:r w:rsidRPr="00280410">
              <w:rPr>
                <w:rFonts w:cstheme="minorHAnsi"/>
                <w:b/>
                <w:sz w:val="20"/>
                <w:szCs w:val="24"/>
              </w:rPr>
              <w:t>.</w:t>
            </w:r>
          </w:p>
        </w:tc>
      </w:tr>
      <w:tr w:rsidR="00B828D9" w:rsidRPr="007C654A" w14:paraId="77845C00" w14:textId="77777777" w:rsidTr="00292074">
        <w:trPr>
          <w:trHeight w:val="517"/>
        </w:trPr>
        <w:tc>
          <w:tcPr>
            <w:tcW w:w="3295" w:type="dxa"/>
            <w:tcBorders>
              <w:bottom w:val="single" w:sz="4" w:space="0" w:color="auto"/>
            </w:tcBorders>
            <w:shd w:val="clear" w:color="auto" w:fill="FDE9D9" w:themeFill="accent6" w:themeFillTint="33"/>
          </w:tcPr>
          <w:p w14:paraId="0A7E70D0" w14:textId="77777777" w:rsidR="00B828D9" w:rsidRDefault="00B828D9" w:rsidP="00A2483D">
            <w:pPr>
              <w:pStyle w:val="NoSpacing"/>
              <w:rPr>
                <w:b/>
              </w:rPr>
            </w:pPr>
            <w:r>
              <w:rPr>
                <w:b/>
              </w:rPr>
              <w:t>Measure description</w:t>
            </w:r>
          </w:p>
          <w:p w14:paraId="2FBA87FF" w14:textId="77777777" w:rsidR="00B828D9" w:rsidRPr="00DE32F5" w:rsidRDefault="00B828D9" w:rsidP="00A2483D">
            <w:pPr>
              <w:pStyle w:val="NoSpacing"/>
              <w:rPr>
                <w:rFonts w:cstheme="minorHAnsi"/>
                <w:sz w:val="20"/>
                <w:szCs w:val="20"/>
              </w:rPr>
            </w:pPr>
            <w:r w:rsidRPr="005944A9">
              <w:rPr>
                <w:rFonts w:cstheme="minorHAnsi"/>
                <w:sz w:val="20"/>
                <w:szCs w:val="20"/>
              </w:rPr>
              <w:t>Provide a descr</w:t>
            </w:r>
            <w:r>
              <w:rPr>
                <w:rFonts w:cstheme="minorHAnsi"/>
                <w:sz w:val="20"/>
                <w:szCs w:val="20"/>
              </w:rPr>
              <w:t>iption of the measure, and identify its objective</w:t>
            </w:r>
          </w:p>
        </w:tc>
        <w:tc>
          <w:tcPr>
            <w:tcW w:w="10653" w:type="dxa"/>
            <w:tcBorders>
              <w:bottom w:val="single" w:sz="4" w:space="0" w:color="auto"/>
            </w:tcBorders>
          </w:tcPr>
          <w:p w14:paraId="6619B3FF" w14:textId="35B2D8FD" w:rsidR="00032CBF" w:rsidRPr="004D77F8" w:rsidRDefault="004505EE" w:rsidP="00DD2E1F">
            <w:pPr>
              <w:pStyle w:val="NoSpacing"/>
              <w:rPr>
                <w:b/>
                <w:szCs w:val="20"/>
              </w:rPr>
            </w:pPr>
            <w:r w:rsidRPr="004D77F8">
              <w:rPr>
                <w:b/>
                <w:szCs w:val="20"/>
              </w:rPr>
              <w:t>Commercial use</w:t>
            </w:r>
          </w:p>
          <w:p w14:paraId="293B2F9D" w14:textId="77777777" w:rsidR="007518D7" w:rsidRPr="004D77F8" w:rsidRDefault="007518D7" w:rsidP="00DD2E1F">
            <w:pPr>
              <w:pStyle w:val="NoSpacing"/>
              <w:rPr>
                <w:b/>
                <w:szCs w:val="20"/>
              </w:rPr>
            </w:pPr>
          </w:p>
          <w:p w14:paraId="139FEDEC" w14:textId="6B13C4F8" w:rsidR="008657FC" w:rsidRPr="001F24F7" w:rsidRDefault="001F24F7" w:rsidP="00DD2E1F">
            <w:pPr>
              <w:pStyle w:val="NoSpacing"/>
              <w:rPr>
                <w:sz w:val="24"/>
              </w:rPr>
            </w:pPr>
            <w:r>
              <w:rPr>
                <w:szCs w:val="20"/>
              </w:rPr>
              <w:t>As a</w:t>
            </w:r>
            <w:r w:rsidRPr="004D77F8">
              <w:rPr>
                <w:szCs w:val="20"/>
              </w:rPr>
              <w:t>dult crabs are highly valued food</w:t>
            </w:r>
            <w:r>
              <w:rPr>
                <w:szCs w:val="20"/>
              </w:rPr>
              <w:t>,</w:t>
            </w:r>
            <w:r w:rsidRPr="004D77F8">
              <w:rPr>
                <w:szCs w:val="20"/>
              </w:rPr>
              <w:t xml:space="preserve"> </w:t>
            </w:r>
            <w:r w:rsidR="007D144C" w:rsidRPr="004D77F8">
              <w:rPr>
                <w:szCs w:val="20"/>
              </w:rPr>
              <w:t>Chinese m</w:t>
            </w:r>
            <w:r w:rsidR="00522DD8" w:rsidRPr="004D77F8">
              <w:rPr>
                <w:szCs w:val="20"/>
              </w:rPr>
              <w:t xml:space="preserve">itten crabs </w:t>
            </w:r>
            <w:r>
              <w:rPr>
                <w:szCs w:val="20"/>
              </w:rPr>
              <w:t>can</w:t>
            </w:r>
            <w:r w:rsidRPr="004D77F8">
              <w:rPr>
                <w:szCs w:val="20"/>
              </w:rPr>
              <w:t xml:space="preserve"> </w:t>
            </w:r>
            <w:r w:rsidR="00522DD8" w:rsidRPr="004D77F8">
              <w:rPr>
                <w:szCs w:val="20"/>
              </w:rPr>
              <w:t xml:space="preserve">be introduced through illegal importation </w:t>
            </w:r>
            <w:r w:rsidR="007D144C" w:rsidRPr="004D77F8">
              <w:rPr>
                <w:szCs w:val="20"/>
              </w:rPr>
              <w:t>o</w:t>
            </w:r>
            <w:r w:rsidR="00522DD8" w:rsidRPr="004D77F8">
              <w:rPr>
                <w:szCs w:val="20"/>
              </w:rPr>
              <w:t>r intentional release to establish a commercial fishery</w:t>
            </w:r>
            <w:r w:rsidR="007D144C" w:rsidRPr="004D77F8">
              <w:rPr>
                <w:szCs w:val="20"/>
              </w:rPr>
              <w:t xml:space="preserve"> </w:t>
            </w:r>
            <w:r w:rsidR="00973C6B" w:rsidRPr="004D77F8">
              <w:rPr>
                <w:szCs w:val="20"/>
              </w:rPr>
              <w:t xml:space="preserve">for human consumption </w:t>
            </w:r>
            <w:r w:rsidR="007D144C" w:rsidRPr="004D77F8">
              <w:rPr>
                <w:szCs w:val="20"/>
              </w:rPr>
              <w:t>(</w:t>
            </w:r>
            <w:r w:rsidR="00915566" w:rsidRPr="004D77F8">
              <w:rPr>
                <w:szCs w:val="20"/>
              </w:rPr>
              <w:t>Chinese Mitten Crab Working Group, 2003)</w:t>
            </w:r>
            <w:r w:rsidR="00522DD8" w:rsidRPr="004D77F8">
              <w:rPr>
                <w:szCs w:val="20"/>
              </w:rPr>
              <w:t>.</w:t>
            </w:r>
            <w:r w:rsidR="006B7C12" w:rsidRPr="004D77F8">
              <w:rPr>
                <w:szCs w:val="20"/>
              </w:rPr>
              <w:t xml:space="preserve"> A</w:t>
            </w:r>
            <w:r w:rsidR="00293B31" w:rsidRPr="004D77F8">
              <w:rPr>
                <w:szCs w:val="20"/>
              </w:rPr>
              <w:t xml:space="preserve">n </w:t>
            </w:r>
            <w:r w:rsidR="008657FC" w:rsidRPr="004D77F8">
              <w:rPr>
                <w:szCs w:val="20"/>
              </w:rPr>
              <w:t>economic incentive</w:t>
            </w:r>
            <w:r>
              <w:rPr>
                <w:szCs w:val="20"/>
              </w:rPr>
              <w:t>,</w:t>
            </w:r>
            <w:r w:rsidR="008657FC" w:rsidRPr="004D77F8">
              <w:rPr>
                <w:szCs w:val="20"/>
              </w:rPr>
              <w:t xml:space="preserve"> </w:t>
            </w:r>
            <w:r w:rsidR="00293B31" w:rsidRPr="004D77F8">
              <w:rPr>
                <w:szCs w:val="20"/>
              </w:rPr>
              <w:t xml:space="preserve">or even selling the specimens </w:t>
            </w:r>
            <w:r w:rsidRPr="004D77F8">
              <w:rPr>
                <w:szCs w:val="20"/>
              </w:rPr>
              <w:t xml:space="preserve">caught </w:t>
            </w:r>
            <w:r w:rsidR="00B60321" w:rsidRPr="004D77F8">
              <w:rPr>
                <w:szCs w:val="20"/>
              </w:rPr>
              <w:t>with traps</w:t>
            </w:r>
            <w:r>
              <w:rPr>
                <w:szCs w:val="20"/>
              </w:rPr>
              <w:t>,</w:t>
            </w:r>
            <w:r w:rsidR="00B60321" w:rsidRPr="004D77F8">
              <w:rPr>
                <w:szCs w:val="20"/>
              </w:rPr>
              <w:t xml:space="preserve"> </w:t>
            </w:r>
            <w:r w:rsidR="00957BC5" w:rsidRPr="004D77F8">
              <w:rPr>
                <w:szCs w:val="20"/>
              </w:rPr>
              <w:t xml:space="preserve">has been evaluated </w:t>
            </w:r>
            <w:r w:rsidR="00ED3B13" w:rsidRPr="004D77F8">
              <w:rPr>
                <w:szCs w:val="20"/>
              </w:rPr>
              <w:t xml:space="preserve">as </w:t>
            </w:r>
            <w:r>
              <w:rPr>
                <w:szCs w:val="20"/>
              </w:rPr>
              <w:t xml:space="preserve">a </w:t>
            </w:r>
            <w:r w:rsidR="00ED3B13" w:rsidRPr="004D77F8">
              <w:rPr>
                <w:szCs w:val="20"/>
              </w:rPr>
              <w:t xml:space="preserve">management option. </w:t>
            </w:r>
            <w:r w:rsidR="00B60321" w:rsidRPr="004D77F8">
              <w:rPr>
                <w:szCs w:val="20"/>
              </w:rPr>
              <w:t>For example, i</w:t>
            </w:r>
            <w:r w:rsidR="00816A1F" w:rsidRPr="004D77F8">
              <w:rPr>
                <w:szCs w:val="20"/>
              </w:rPr>
              <w:t>n 1998, l</w:t>
            </w:r>
            <w:r w:rsidR="006B7C12" w:rsidRPr="004D77F8">
              <w:rPr>
                <w:szCs w:val="20"/>
              </w:rPr>
              <w:t xml:space="preserve">ive mitten crabs </w:t>
            </w:r>
            <w:r>
              <w:rPr>
                <w:szCs w:val="20"/>
              </w:rPr>
              <w:t>were</w:t>
            </w:r>
            <w:r w:rsidR="006B7C12" w:rsidRPr="004D77F8">
              <w:rPr>
                <w:szCs w:val="20"/>
              </w:rPr>
              <w:t xml:space="preserve"> available for sale in seafood markets of New York </w:t>
            </w:r>
            <w:r w:rsidR="006B7C12" w:rsidRPr="004D77F8">
              <w:rPr>
                <w:szCs w:val="20"/>
              </w:rPr>
              <w:lastRenderedPageBreak/>
              <w:t>City’s Chinatown, fetching up to $</w:t>
            </w:r>
            <w:r w:rsidR="00DD58B8" w:rsidRPr="004D77F8">
              <w:rPr>
                <w:szCs w:val="20"/>
              </w:rPr>
              <w:t xml:space="preserve"> </w:t>
            </w:r>
            <w:r w:rsidR="006B7C12" w:rsidRPr="004D77F8">
              <w:rPr>
                <w:szCs w:val="20"/>
              </w:rPr>
              <w:t>40/pound (</w:t>
            </w:r>
            <w:r w:rsidR="00816A1F" w:rsidRPr="004D77F8">
              <w:rPr>
                <w:szCs w:val="20"/>
              </w:rPr>
              <w:t>Chinese Mitten Crab Working Group, 2003</w:t>
            </w:r>
            <w:r w:rsidR="006B7C12" w:rsidRPr="004D77F8">
              <w:rPr>
                <w:szCs w:val="20"/>
              </w:rPr>
              <w:t>).</w:t>
            </w:r>
            <w:r w:rsidR="005078D6" w:rsidRPr="004D77F8">
              <w:rPr>
                <w:szCs w:val="20"/>
              </w:rPr>
              <w:t xml:space="preserve"> </w:t>
            </w:r>
            <w:r w:rsidR="001F55EE" w:rsidRPr="004D77F8">
              <w:rPr>
                <w:szCs w:val="20"/>
              </w:rPr>
              <w:t xml:space="preserve">Illegal individuals sold in Italy </w:t>
            </w:r>
            <w:r>
              <w:rPr>
                <w:szCs w:val="20"/>
              </w:rPr>
              <w:t>can</w:t>
            </w:r>
            <w:r w:rsidRPr="004D77F8">
              <w:rPr>
                <w:szCs w:val="20"/>
              </w:rPr>
              <w:t xml:space="preserve"> </w:t>
            </w:r>
            <w:r>
              <w:rPr>
                <w:szCs w:val="20"/>
              </w:rPr>
              <w:t>attain</w:t>
            </w:r>
            <w:r w:rsidRPr="004D77F8">
              <w:rPr>
                <w:szCs w:val="20"/>
              </w:rPr>
              <w:t xml:space="preserve"> </w:t>
            </w:r>
            <w:r w:rsidR="00DD58B8" w:rsidRPr="004D77F8">
              <w:rPr>
                <w:szCs w:val="20"/>
              </w:rPr>
              <w:t xml:space="preserve">a price of </w:t>
            </w:r>
            <w:r w:rsidR="00DD58B8" w:rsidRPr="004D77F8">
              <w:rPr>
                <w:rFonts w:cstheme="minorHAnsi"/>
                <w:szCs w:val="20"/>
              </w:rPr>
              <w:t>€</w:t>
            </w:r>
            <w:r w:rsidR="00DD58B8" w:rsidRPr="004D77F8">
              <w:rPr>
                <w:szCs w:val="20"/>
              </w:rPr>
              <w:t xml:space="preserve"> 50-80/kg (</w:t>
            </w:r>
            <w:r>
              <w:rPr>
                <w:szCs w:val="20"/>
              </w:rPr>
              <w:t xml:space="preserve">author’s </w:t>
            </w:r>
            <w:r w:rsidR="00DD58B8" w:rsidRPr="004D77F8">
              <w:rPr>
                <w:szCs w:val="20"/>
              </w:rPr>
              <w:t xml:space="preserve">pers. </w:t>
            </w:r>
            <w:r>
              <w:rPr>
                <w:szCs w:val="20"/>
              </w:rPr>
              <w:t>obs</w:t>
            </w:r>
            <w:r w:rsidR="00DD58B8" w:rsidRPr="004D77F8">
              <w:rPr>
                <w:szCs w:val="20"/>
              </w:rPr>
              <w:t>.)</w:t>
            </w:r>
            <w:r>
              <w:rPr>
                <w:szCs w:val="20"/>
              </w:rPr>
              <w:t>.</w:t>
            </w:r>
            <w:r>
              <w:rPr>
                <w:sz w:val="24"/>
              </w:rPr>
              <w:t xml:space="preserve"> </w:t>
            </w:r>
            <w:r w:rsidR="00A82226" w:rsidRPr="004D77F8">
              <w:t>This measure involves mainly fishermen.</w:t>
            </w:r>
          </w:p>
          <w:p w14:paraId="177A86CE" w14:textId="7E882442" w:rsidR="00B828D9" w:rsidRDefault="003E65BF" w:rsidP="00DD2E1F">
            <w:pPr>
              <w:pStyle w:val="NoSpacing"/>
            </w:pPr>
            <w:r w:rsidRPr="004D77F8">
              <w:t xml:space="preserve">While catching crabs for selling, other IAS can </w:t>
            </w:r>
            <w:r w:rsidR="001F24F7">
              <w:t xml:space="preserve">also </w:t>
            </w:r>
            <w:r w:rsidRPr="004D77F8">
              <w:t>be trapped</w:t>
            </w:r>
            <w:r w:rsidR="001F24F7">
              <w:t>, such as</w:t>
            </w:r>
            <w:r w:rsidRPr="004D77F8">
              <w:t xml:space="preserve"> crayfish</w:t>
            </w:r>
            <w:r w:rsidR="001F24F7">
              <w:t xml:space="preserve"> and</w:t>
            </w:r>
            <w:r w:rsidRPr="004D77F8">
              <w:t xml:space="preserve"> fish.</w:t>
            </w:r>
          </w:p>
          <w:p w14:paraId="47E3E97E" w14:textId="77777777" w:rsidR="00B24C3B" w:rsidRDefault="00B24C3B" w:rsidP="00DD2E1F">
            <w:pPr>
              <w:pStyle w:val="NoSpacing"/>
            </w:pPr>
          </w:p>
          <w:p w14:paraId="22001077" w14:textId="2C496A2A" w:rsidR="004D77F8" w:rsidRPr="003E65BF" w:rsidRDefault="004D77F8" w:rsidP="00DD2E1F">
            <w:pPr>
              <w:pStyle w:val="NoSpacing"/>
              <w:rPr>
                <w:sz w:val="20"/>
              </w:rPr>
            </w:pPr>
          </w:p>
        </w:tc>
      </w:tr>
      <w:tr w:rsidR="00B828D9" w14:paraId="6C3920DC" w14:textId="77777777" w:rsidTr="00292074">
        <w:trPr>
          <w:trHeight w:val="517"/>
        </w:trPr>
        <w:tc>
          <w:tcPr>
            <w:tcW w:w="3295" w:type="dxa"/>
            <w:tcBorders>
              <w:bottom w:val="single" w:sz="4" w:space="0" w:color="auto"/>
            </w:tcBorders>
            <w:shd w:val="clear" w:color="auto" w:fill="FDE9D9" w:themeFill="accent6" w:themeFillTint="33"/>
          </w:tcPr>
          <w:p w14:paraId="2BCA63BD" w14:textId="77777777" w:rsidR="00B828D9" w:rsidRDefault="00B828D9" w:rsidP="00A2483D">
            <w:pPr>
              <w:pStyle w:val="NoSpacing"/>
              <w:rPr>
                <w:b/>
              </w:rPr>
            </w:pPr>
            <w:r>
              <w:rPr>
                <w:b/>
              </w:rPr>
              <w:lastRenderedPageBreak/>
              <w:t>Scale of application</w:t>
            </w:r>
          </w:p>
          <w:p w14:paraId="3B62E7CD" w14:textId="5C0B5C5D" w:rsidR="00B828D9" w:rsidRPr="00DE32F5" w:rsidRDefault="00B828D9" w:rsidP="00A2483D">
            <w:pPr>
              <w:pStyle w:val="NoSpacing"/>
              <w:rPr>
                <w:sz w:val="20"/>
              </w:rPr>
            </w:pPr>
            <w:r w:rsidRPr="00244CE3">
              <w:rPr>
                <w:sz w:val="20"/>
              </w:rPr>
              <w:t>At w</w:t>
            </w:r>
            <w:r>
              <w:rPr>
                <w:sz w:val="20"/>
              </w:rPr>
              <w:t>hat scale is the measure applied? What is the largest scale at which it has been successfully used? Please provide examples, with areas (km</w:t>
            </w:r>
            <w:r w:rsidRPr="00CF2B2E">
              <w:rPr>
                <w:sz w:val="20"/>
                <w:vertAlign w:val="superscript"/>
              </w:rPr>
              <w:t>2</w:t>
            </w:r>
            <w:r>
              <w:rPr>
                <w:sz w:val="20"/>
              </w:rPr>
              <w:t xml:space="preserve"> or ha) if possible.</w:t>
            </w:r>
          </w:p>
        </w:tc>
        <w:tc>
          <w:tcPr>
            <w:tcW w:w="10653" w:type="dxa"/>
            <w:tcBorders>
              <w:bottom w:val="single" w:sz="4" w:space="0" w:color="auto"/>
            </w:tcBorders>
          </w:tcPr>
          <w:p w14:paraId="5C63657C" w14:textId="4BDF3D46" w:rsidR="00B828D9" w:rsidRPr="006F38F8" w:rsidRDefault="00B47A07" w:rsidP="00A2483D">
            <w:pPr>
              <w:rPr>
                <w:sz w:val="20"/>
                <w:szCs w:val="20"/>
              </w:rPr>
            </w:pPr>
            <w:r w:rsidRPr="004D77F8">
              <w:rPr>
                <w:szCs w:val="20"/>
              </w:rPr>
              <w:t xml:space="preserve">The main invaded areas can be </w:t>
            </w:r>
            <w:r w:rsidR="007472C4" w:rsidRPr="004D77F8">
              <w:rPr>
                <w:szCs w:val="20"/>
              </w:rPr>
              <w:t>the target ar</w:t>
            </w:r>
            <w:r w:rsidR="0095551A" w:rsidRPr="004D77F8">
              <w:rPr>
                <w:szCs w:val="20"/>
              </w:rPr>
              <w:t>ea of intensive fishing</w:t>
            </w:r>
            <w:r w:rsidR="00A3495C">
              <w:rPr>
                <w:szCs w:val="20"/>
              </w:rPr>
              <w:t>,</w:t>
            </w:r>
            <w:r w:rsidR="005F4F81" w:rsidRPr="004D77F8">
              <w:rPr>
                <w:szCs w:val="20"/>
              </w:rPr>
              <w:t xml:space="preserve"> in order to decrease species abundance.</w:t>
            </w:r>
          </w:p>
        </w:tc>
      </w:tr>
      <w:tr w:rsidR="00B828D9" w:rsidRPr="002B6463" w14:paraId="32948BBB" w14:textId="77777777" w:rsidTr="00292074">
        <w:trPr>
          <w:trHeight w:val="2222"/>
        </w:trPr>
        <w:tc>
          <w:tcPr>
            <w:tcW w:w="3295" w:type="dxa"/>
            <w:tcBorders>
              <w:top w:val="single" w:sz="4" w:space="0" w:color="auto"/>
            </w:tcBorders>
            <w:shd w:val="clear" w:color="auto" w:fill="FDE9D9" w:themeFill="accent6" w:themeFillTint="33"/>
          </w:tcPr>
          <w:p w14:paraId="66AE7774" w14:textId="1D1D420A" w:rsidR="00B828D9" w:rsidRPr="0039672E" w:rsidRDefault="00B828D9" w:rsidP="00A2483D">
            <w:pPr>
              <w:pStyle w:val="NoSpacing"/>
              <w:rPr>
                <w:b/>
              </w:rPr>
            </w:pPr>
            <w:r w:rsidRPr="0039672E">
              <w:rPr>
                <w:b/>
              </w:rPr>
              <w:t xml:space="preserve">Effectiveness of </w:t>
            </w:r>
            <w:r>
              <w:rPr>
                <w:b/>
              </w:rPr>
              <w:t xml:space="preserve">the </w:t>
            </w:r>
            <w:r w:rsidRPr="0039672E">
              <w:rPr>
                <w:b/>
              </w:rPr>
              <w:t>measure</w:t>
            </w:r>
          </w:p>
          <w:p w14:paraId="4E298DC2" w14:textId="77777777" w:rsidR="00B828D9" w:rsidRPr="0039672E" w:rsidRDefault="00B828D9" w:rsidP="00A2483D">
            <w:pPr>
              <w:pStyle w:val="NoSpacing"/>
              <w:rPr>
                <w:b/>
                <w:sz w:val="20"/>
              </w:rPr>
            </w:pPr>
            <w:r>
              <w:rPr>
                <w:sz w:val="20"/>
              </w:rPr>
              <w:t>Is it effective in relation to its objective? Has the</w:t>
            </w:r>
            <w:r w:rsidRPr="00EA6987">
              <w:rPr>
                <w:sz w:val="20"/>
              </w:rPr>
              <w:t xml:space="preserve"> </w:t>
            </w:r>
            <w:r>
              <w:rPr>
                <w:sz w:val="20"/>
              </w:rPr>
              <w:t xml:space="preserve">measure </w:t>
            </w:r>
            <w:r w:rsidRPr="00EA6987">
              <w:rPr>
                <w:sz w:val="20"/>
              </w:rPr>
              <w:t>previously worked, failed</w:t>
            </w:r>
            <w:r>
              <w:rPr>
                <w:sz w:val="20"/>
              </w:rPr>
              <w:t>?</w:t>
            </w:r>
          </w:p>
          <w:p w14:paraId="2B30258B" w14:textId="77777777" w:rsidR="00B828D9" w:rsidRDefault="00B828D9" w:rsidP="00A2483D">
            <w:pPr>
              <w:pStyle w:val="NoSpacing"/>
              <w:rPr>
                <w:sz w:val="20"/>
              </w:rPr>
            </w:pPr>
          </w:p>
          <w:p w14:paraId="711D05B5" w14:textId="77777777" w:rsidR="00B828D9" w:rsidRPr="00DE32F5" w:rsidRDefault="00B828D9" w:rsidP="00A2483D">
            <w:pPr>
              <w:pStyle w:val="NoSpacing"/>
              <w:rPr>
                <w:b/>
                <w:sz w:val="20"/>
              </w:rPr>
            </w:pPr>
            <w:r>
              <w:rPr>
                <w:sz w:val="20"/>
              </w:rPr>
              <w:t>Please select one of the categories of effectiveness (with an ‘X’), and provide a rationale, with supporting evidence and examples if possible.</w:t>
            </w:r>
          </w:p>
        </w:tc>
        <w:tc>
          <w:tcPr>
            <w:tcW w:w="10653" w:type="dxa"/>
            <w:tcBorders>
              <w:top w:val="single" w:sz="4" w:space="0" w:color="auto"/>
            </w:tcBorders>
            <w:shd w:val="clear" w:color="auto" w:fill="auto"/>
          </w:tcPr>
          <w:tbl>
            <w:tblPr>
              <w:tblStyle w:val="TableGrid"/>
              <w:tblW w:w="0" w:type="auto"/>
              <w:tblLook w:val="04A0" w:firstRow="1" w:lastRow="0" w:firstColumn="1" w:lastColumn="0" w:noHBand="0" w:noVBand="1"/>
            </w:tblPr>
            <w:tblGrid>
              <w:gridCol w:w="2116"/>
              <w:gridCol w:w="1417"/>
              <w:gridCol w:w="425"/>
              <w:gridCol w:w="1560"/>
              <w:gridCol w:w="425"/>
              <w:gridCol w:w="1417"/>
              <w:gridCol w:w="426"/>
              <w:gridCol w:w="1134"/>
              <w:gridCol w:w="425"/>
            </w:tblGrid>
            <w:tr w:rsidR="008B4A4D" w14:paraId="4AFE2C00" w14:textId="5D1A7D3D" w:rsidTr="003F77F5">
              <w:tc>
                <w:tcPr>
                  <w:tcW w:w="2116" w:type="dxa"/>
                </w:tcPr>
                <w:p w14:paraId="0170E426" w14:textId="77777777" w:rsidR="008B4A4D" w:rsidRPr="002E17F6" w:rsidRDefault="008B4A4D" w:rsidP="00A2483D">
                  <w:pPr>
                    <w:pStyle w:val="NoSpacing"/>
                    <w:rPr>
                      <w:b/>
                      <w:i/>
                      <w:sz w:val="20"/>
                    </w:rPr>
                  </w:pPr>
                  <w:r>
                    <w:rPr>
                      <w:b/>
                      <w:i/>
                      <w:sz w:val="20"/>
                    </w:rPr>
                    <w:t>Effectiveness of measures</w:t>
                  </w:r>
                </w:p>
              </w:tc>
              <w:tc>
                <w:tcPr>
                  <w:tcW w:w="1417" w:type="dxa"/>
                </w:tcPr>
                <w:p w14:paraId="62ED2ECA" w14:textId="77777777" w:rsidR="008B4A4D" w:rsidRDefault="008B4A4D" w:rsidP="00A2483D">
                  <w:pPr>
                    <w:pStyle w:val="NoSpacing"/>
                    <w:jc w:val="right"/>
                    <w:rPr>
                      <w:i/>
                      <w:sz w:val="20"/>
                    </w:rPr>
                  </w:pPr>
                  <w:r>
                    <w:rPr>
                      <w:i/>
                      <w:sz w:val="20"/>
                    </w:rPr>
                    <w:t>Effective</w:t>
                  </w:r>
                </w:p>
              </w:tc>
              <w:tc>
                <w:tcPr>
                  <w:tcW w:w="425" w:type="dxa"/>
                  <w:shd w:val="clear" w:color="auto" w:fill="FDE9D9" w:themeFill="accent6" w:themeFillTint="33"/>
                </w:tcPr>
                <w:p w14:paraId="4028E2EF" w14:textId="591D753C" w:rsidR="008B4A4D" w:rsidRDefault="008B4A4D" w:rsidP="00A2483D">
                  <w:pPr>
                    <w:pStyle w:val="NoSpacing"/>
                    <w:jc w:val="right"/>
                    <w:rPr>
                      <w:i/>
                      <w:sz w:val="20"/>
                    </w:rPr>
                  </w:pPr>
                </w:p>
              </w:tc>
              <w:tc>
                <w:tcPr>
                  <w:tcW w:w="1560" w:type="dxa"/>
                </w:tcPr>
                <w:p w14:paraId="7B96D12C" w14:textId="77777777" w:rsidR="008B4A4D" w:rsidRDefault="008B4A4D" w:rsidP="00A2483D">
                  <w:pPr>
                    <w:pStyle w:val="NoSpacing"/>
                    <w:jc w:val="right"/>
                    <w:rPr>
                      <w:i/>
                      <w:sz w:val="20"/>
                    </w:rPr>
                  </w:pPr>
                  <w:r>
                    <w:rPr>
                      <w:i/>
                      <w:sz w:val="20"/>
                    </w:rPr>
                    <w:t xml:space="preserve">Neutral </w:t>
                  </w:r>
                </w:p>
              </w:tc>
              <w:tc>
                <w:tcPr>
                  <w:tcW w:w="425" w:type="dxa"/>
                  <w:shd w:val="clear" w:color="auto" w:fill="FDE9D9" w:themeFill="accent6" w:themeFillTint="33"/>
                </w:tcPr>
                <w:p w14:paraId="63E389D5" w14:textId="3BD5663B" w:rsidR="008B4A4D" w:rsidRDefault="00872F92" w:rsidP="00A2483D">
                  <w:pPr>
                    <w:pStyle w:val="NoSpacing"/>
                    <w:jc w:val="right"/>
                    <w:rPr>
                      <w:i/>
                      <w:sz w:val="20"/>
                    </w:rPr>
                  </w:pPr>
                  <w:r>
                    <w:rPr>
                      <w:i/>
                      <w:sz w:val="20"/>
                    </w:rPr>
                    <w:t>X</w:t>
                  </w:r>
                </w:p>
              </w:tc>
              <w:tc>
                <w:tcPr>
                  <w:tcW w:w="1417" w:type="dxa"/>
                </w:tcPr>
                <w:p w14:paraId="2B2B8C2B" w14:textId="77777777" w:rsidR="008B4A4D" w:rsidRDefault="008B4A4D" w:rsidP="00A2483D">
                  <w:pPr>
                    <w:pStyle w:val="NoSpacing"/>
                    <w:jc w:val="right"/>
                    <w:rPr>
                      <w:i/>
                      <w:sz w:val="20"/>
                    </w:rPr>
                  </w:pPr>
                  <w:r>
                    <w:rPr>
                      <w:i/>
                      <w:sz w:val="20"/>
                    </w:rPr>
                    <w:t>Ineffective</w:t>
                  </w:r>
                </w:p>
              </w:tc>
              <w:tc>
                <w:tcPr>
                  <w:tcW w:w="426" w:type="dxa"/>
                  <w:shd w:val="clear" w:color="auto" w:fill="FDE9D9" w:themeFill="accent6" w:themeFillTint="33"/>
                </w:tcPr>
                <w:p w14:paraId="40AD14A7" w14:textId="77777777" w:rsidR="008B4A4D" w:rsidRDefault="008B4A4D" w:rsidP="00A2483D">
                  <w:pPr>
                    <w:pStyle w:val="NoSpacing"/>
                    <w:rPr>
                      <w:i/>
                      <w:sz w:val="20"/>
                    </w:rPr>
                  </w:pPr>
                </w:p>
              </w:tc>
              <w:tc>
                <w:tcPr>
                  <w:tcW w:w="1134" w:type="dxa"/>
                  <w:shd w:val="clear" w:color="auto" w:fill="auto"/>
                </w:tcPr>
                <w:p w14:paraId="270931D0" w14:textId="26C8CF42" w:rsidR="008B4A4D" w:rsidRDefault="008B4A4D" w:rsidP="00A2483D">
                  <w:pPr>
                    <w:pStyle w:val="NoSpacing"/>
                    <w:rPr>
                      <w:i/>
                      <w:sz w:val="20"/>
                    </w:rPr>
                  </w:pPr>
                  <w:r>
                    <w:rPr>
                      <w:i/>
                      <w:sz w:val="20"/>
                    </w:rPr>
                    <w:t>Unknown</w:t>
                  </w:r>
                </w:p>
              </w:tc>
              <w:tc>
                <w:tcPr>
                  <w:tcW w:w="425" w:type="dxa"/>
                  <w:shd w:val="clear" w:color="auto" w:fill="FDE9D9" w:themeFill="accent6" w:themeFillTint="33"/>
                </w:tcPr>
                <w:p w14:paraId="5C4373E3" w14:textId="6E1B43E9" w:rsidR="008B4A4D" w:rsidRDefault="008B4A4D" w:rsidP="00A2483D">
                  <w:pPr>
                    <w:pStyle w:val="NoSpacing"/>
                    <w:rPr>
                      <w:i/>
                      <w:sz w:val="20"/>
                    </w:rPr>
                  </w:pPr>
                </w:p>
              </w:tc>
            </w:tr>
          </w:tbl>
          <w:p w14:paraId="13EAD3F8" w14:textId="77777777" w:rsidR="00B828D9" w:rsidRDefault="00B828D9" w:rsidP="00A2483D">
            <w:pPr>
              <w:pStyle w:val="NoSpacing"/>
              <w:rPr>
                <w:i/>
                <w:sz w:val="20"/>
              </w:rPr>
            </w:pPr>
          </w:p>
          <w:p w14:paraId="32D28E03" w14:textId="77777777" w:rsidR="00B828D9" w:rsidRDefault="00B828D9" w:rsidP="00A2483D">
            <w:pPr>
              <w:pStyle w:val="NoSpacing"/>
              <w:rPr>
                <w:sz w:val="20"/>
              </w:rPr>
            </w:pPr>
            <w:r w:rsidRPr="00C856F5">
              <w:rPr>
                <w:i/>
                <w:sz w:val="20"/>
              </w:rPr>
              <w:t>Rationale</w:t>
            </w:r>
            <w:r>
              <w:rPr>
                <w:sz w:val="20"/>
              </w:rPr>
              <w:t>:</w:t>
            </w:r>
          </w:p>
          <w:p w14:paraId="40E33B5A" w14:textId="77777777" w:rsidR="00B828D9" w:rsidRDefault="00C44AFC" w:rsidP="000E6848">
            <w:pPr>
              <w:pStyle w:val="NoSpacing"/>
            </w:pPr>
            <w:r w:rsidRPr="004D77F8">
              <w:t>Commerciali</w:t>
            </w:r>
            <w:r w:rsidR="00A3495C">
              <w:t>s</w:t>
            </w:r>
            <w:r w:rsidRPr="004D77F8">
              <w:t>ation can reduce</w:t>
            </w:r>
            <w:r w:rsidR="00DF1CC2" w:rsidRPr="004D77F8">
              <w:t xml:space="preserve"> species</w:t>
            </w:r>
            <w:r w:rsidRPr="004D77F8">
              <w:t xml:space="preserve"> abundance with minimal cost</w:t>
            </w:r>
            <w:r w:rsidR="00937B29" w:rsidRPr="004D77F8">
              <w:t xml:space="preserve"> (Eber</w:t>
            </w:r>
            <w:r w:rsidR="00817E5E">
              <w:t>h</w:t>
            </w:r>
            <w:r w:rsidR="00937B29" w:rsidRPr="004D77F8">
              <w:t xml:space="preserve">ardt </w:t>
            </w:r>
            <w:r w:rsidR="003B1374" w:rsidRPr="004D77F8">
              <w:t>et al., 2016)</w:t>
            </w:r>
            <w:r w:rsidR="005F4F81" w:rsidRPr="004D77F8">
              <w:t xml:space="preserve">. </w:t>
            </w:r>
            <w:r w:rsidR="00872F92" w:rsidRPr="00872F92">
              <w:t>How</w:t>
            </w:r>
            <w:r w:rsidR="00872F92">
              <w:t>e</w:t>
            </w:r>
            <w:r w:rsidR="00872F92" w:rsidRPr="00872F92">
              <w:t xml:space="preserve">ver, an experimental trial in </w:t>
            </w:r>
            <w:r w:rsidR="00872F92" w:rsidRPr="00895436">
              <w:t xml:space="preserve">Belgium, in </w:t>
            </w:r>
            <w:proofErr w:type="spellStart"/>
            <w:r w:rsidR="00872F92" w:rsidRPr="00895436">
              <w:t>Beneden-Zeeschelde</w:t>
            </w:r>
            <w:proofErr w:type="spellEnd"/>
            <w:r w:rsidR="00872F92" w:rsidRPr="00895436">
              <w:t xml:space="preserve"> area, </w:t>
            </w:r>
            <w:r w:rsidR="00872F92">
              <w:t>from winter</w:t>
            </w:r>
            <w:r w:rsidR="00872F92" w:rsidRPr="00895436">
              <w:t xml:space="preserve"> 2013-2014 </w:t>
            </w:r>
            <w:r w:rsidR="00872F92">
              <w:t xml:space="preserve">to winter </w:t>
            </w:r>
            <w:r w:rsidR="00872F92" w:rsidRPr="00895436">
              <w:t>2015-2016</w:t>
            </w:r>
            <w:r w:rsidR="000E6848">
              <w:t>,</w:t>
            </w:r>
            <w:r w:rsidR="00872F92" w:rsidRPr="00895436">
              <w:t xml:space="preserve"> </w:t>
            </w:r>
            <w:r w:rsidR="00872F92">
              <w:t xml:space="preserve">showed </w:t>
            </w:r>
            <w:r w:rsidR="000E6848">
              <w:t xml:space="preserve">that </w:t>
            </w:r>
            <w:r w:rsidR="00872F92">
              <w:t xml:space="preserve">catch rates were highly variable </w:t>
            </w:r>
            <w:r w:rsidR="000E6848">
              <w:t xml:space="preserve">and </w:t>
            </w:r>
            <w:r w:rsidR="00872F92">
              <w:t xml:space="preserve">did not lead to a decrease in species population </w:t>
            </w:r>
            <w:r w:rsidR="000E6848">
              <w:t>numbers or</w:t>
            </w:r>
            <w:r w:rsidR="00872F92">
              <w:t xml:space="preserve"> to an economic yield (INBO, 2017).</w:t>
            </w:r>
          </w:p>
          <w:p w14:paraId="529ED66A" w14:textId="73DB589C" w:rsidR="000E6848" w:rsidRPr="002B6463" w:rsidRDefault="000E6848" w:rsidP="000E6848">
            <w:pPr>
              <w:pStyle w:val="NoSpacing"/>
              <w:rPr>
                <w:sz w:val="20"/>
              </w:rPr>
            </w:pPr>
          </w:p>
        </w:tc>
      </w:tr>
      <w:tr w:rsidR="00B828D9" w14:paraId="7A292DF6" w14:textId="77777777" w:rsidTr="00292074">
        <w:tc>
          <w:tcPr>
            <w:tcW w:w="3295" w:type="dxa"/>
            <w:shd w:val="clear" w:color="auto" w:fill="FDE9D9" w:themeFill="accent6" w:themeFillTint="33"/>
          </w:tcPr>
          <w:p w14:paraId="07C15C01" w14:textId="77777777" w:rsidR="00B828D9" w:rsidRPr="0039672E" w:rsidRDefault="00B828D9" w:rsidP="00A2483D">
            <w:pPr>
              <w:pStyle w:val="NoSpacing"/>
              <w:rPr>
                <w:b/>
              </w:rPr>
            </w:pPr>
            <w:r w:rsidRPr="0039672E">
              <w:rPr>
                <w:b/>
              </w:rPr>
              <w:t>Effort required</w:t>
            </w:r>
          </w:p>
          <w:p w14:paraId="1FF34864" w14:textId="48417279" w:rsidR="00B828D9" w:rsidRPr="002B6463" w:rsidRDefault="00B828D9" w:rsidP="00A2483D">
            <w:pPr>
              <w:pStyle w:val="NoSpacing"/>
              <w:rPr>
                <w:sz w:val="20"/>
              </w:rPr>
            </w:pPr>
            <w:r w:rsidRPr="00EA6987">
              <w:rPr>
                <w:sz w:val="20"/>
              </w:rPr>
              <w:t>e.g. period of time over which measure need</w:t>
            </w:r>
            <w:r w:rsidR="003165ED">
              <w:rPr>
                <w:sz w:val="20"/>
              </w:rPr>
              <w:t>s</w:t>
            </w:r>
            <w:r w:rsidRPr="00EA6987">
              <w:rPr>
                <w:sz w:val="20"/>
              </w:rPr>
              <w:t xml:space="preserve"> to be applied to have results</w:t>
            </w:r>
          </w:p>
        </w:tc>
        <w:tc>
          <w:tcPr>
            <w:tcW w:w="10653" w:type="dxa"/>
          </w:tcPr>
          <w:p w14:paraId="24B622B3" w14:textId="77777777" w:rsidR="00B828D9" w:rsidRDefault="00593E0F" w:rsidP="00A3495C">
            <w:pPr>
              <w:pStyle w:val="NoSpacing"/>
            </w:pPr>
            <w:r w:rsidRPr="004D77F8">
              <w:t xml:space="preserve">This measure </w:t>
            </w:r>
            <w:r w:rsidR="00A3495C">
              <w:t>sh</w:t>
            </w:r>
            <w:r w:rsidRPr="004D77F8">
              <w:t xml:space="preserve">ould be </w:t>
            </w:r>
            <w:r w:rsidR="00A3495C">
              <w:t>implemented indefinitely</w:t>
            </w:r>
            <w:r w:rsidR="00DF1CC2" w:rsidRPr="004D77F8">
              <w:t>.</w:t>
            </w:r>
            <w:r w:rsidR="000275FB">
              <w:t xml:space="preserve"> However, the effort for promoting the commercial use of the species will need to be done for a limited period of time (ca</w:t>
            </w:r>
            <w:r w:rsidR="00763C6F">
              <w:t>.</w:t>
            </w:r>
            <w:r w:rsidR="000275FB">
              <w:t xml:space="preserve"> a couple of years) and</w:t>
            </w:r>
            <w:r w:rsidR="00D56D6F">
              <w:t>,</w:t>
            </w:r>
            <w:r w:rsidR="000275FB">
              <w:t xml:space="preserve"> when its commercial use is established to both fishers and consumers, no more such effort will be needed.</w:t>
            </w:r>
          </w:p>
          <w:p w14:paraId="532CD661" w14:textId="7A081FBA" w:rsidR="00763C6F" w:rsidRPr="002B6463" w:rsidRDefault="00763C6F" w:rsidP="00A3495C">
            <w:pPr>
              <w:pStyle w:val="NoSpacing"/>
              <w:rPr>
                <w:sz w:val="20"/>
              </w:rPr>
            </w:pPr>
          </w:p>
        </w:tc>
      </w:tr>
      <w:tr w:rsidR="00B828D9" w14:paraId="4554E346" w14:textId="77777777" w:rsidTr="00292074">
        <w:tc>
          <w:tcPr>
            <w:tcW w:w="3295" w:type="dxa"/>
            <w:shd w:val="clear" w:color="auto" w:fill="FDE9D9" w:themeFill="accent6" w:themeFillTint="33"/>
          </w:tcPr>
          <w:p w14:paraId="18D537B2" w14:textId="77777777" w:rsidR="00B828D9" w:rsidRPr="0039672E" w:rsidRDefault="00B828D9" w:rsidP="00A2483D">
            <w:pPr>
              <w:pStyle w:val="NoSpacing"/>
              <w:rPr>
                <w:b/>
                <w:sz w:val="24"/>
                <w:vertAlign w:val="superscript"/>
              </w:rPr>
            </w:pPr>
            <w:r w:rsidRPr="0039672E">
              <w:rPr>
                <w:b/>
              </w:rPr>
              <w:t>Resources required</w:t>
            </w:r>
            <w:r>
              <w:rPr>
                <w:b/>
              </w:rPr>
              <w:t xml:space="preserve"> </w:t>
            </w:r>
            <w:r>
              <w:rPr>
                <w:b/>
                <w:vertAlign w:val="superscript"/>
              </w:rPr>
              <w:t>1</w:t>
            </w:r>
          </w:p>
          <w:p w14:paraId="46C66EEC" w14:textId="77777777" w:rsidR="00B828D9" w:rsidRPr="002B6463" w:rsidRDefault="00B828D9" w:rsidP="00A2483D">
            <w:pPr>
              <w:pStyle w:val="NoSpacing"/>
              <w:rPr>
                <w:sz w:val="20"/>
              </w:rPr>
            </w:pPr>
            <w:r>
              <w:rPr>
                <w:sz w:val="20"/>
              </w:rPr>
              <w:t>e.g. cost, staff, equipment etc.</w:t>
            </w:r>
          </w:p>
        </w:tc>
        <w:tc>
          <w:tcPr>
            <w:tcW w:w="10653" w:type="dxa"/>
          </w:tcPr>
          <w:p w14:paraId="7E05D782" w14:textId="68D159B0" w:rsidR="00B828D9" w:rsidRDefault="00A3495C" w:rsidP="00A2483D">
            <w:pPr>
              <w:pStyle w:val="NoSpacing"/>
            </w:pPr>
            <w:r w:rsidRPr="00A3495C">
              <w:t>This measure would require minimal, or no, costs</w:t>
            </w:r>
            <w:r w:rsidR="000275FB">
              <w:t xml:space="preserve">, </w:t>
            </w:r>
            <w:r w:rsidR="007F135D">
              <w:t xml:space="preserve">which would be </w:t>
            </w:r>
            <w:r w:rsidR="000275FB">
              <w:t>essentially for promoting the commercial use of the species (through advertisements, training fishers, informing consumers etc)</w:t>
            </w:r>
            <w:r w:rsidRPr="00A3495C">
              <w:t>.</w:t>
            </w:r>
          </w:p>
          <w:p w14:paraId="459A239C" w14:textId="41769A2F" w:rsidR="002A1410" w:rsidRPr="00A3495C" w:rsidRDefault="002A1410" w:rsidP="00A2483D">
            <w:pPr>
              <w:pStyle w:val="NoSpacing"/>
            </w:pPr>
          </w:p>
        </w:tc>
      </w:tr>
      <w:tr w:rsidR="00B828D9" w:rsidRPr="002B6463" w14:paraId="3A9956FC" w14:textId="77777777" w:rsidTr="00292074">
        <w:tc>
          <w:tcPr>
            <w:tcW w:w="3295" w:type="dxa"/>
            <w:shd w:val="clear" w:color="auto" w:fill="FDE9D9" w:themeFill="accent6" w:themeFillTint="33"/>
          </w:tcPr>
          <w:p w14:paraId="649FD8D5" w14:textId="77777777" w:rsidR="00B828D9" w:rsidRPr="0039672E" w:rsidRDefault="00B828D9" w:rsidP="00A2483D">
            <w:pPr>
              <w:pStyle w:val="NoSpacing"/>
              <w:rPr>
                <w:b/>
              </w:rPr>
            </w:pPr>
            <w:r w:rsidRPr="0039672E">
              <w:rPr>
                <w:b/>
              </w:rPr>
              <w:t>Side effects (incl. potential)</w:t>
            </w:r>
            <w:r>
              <w:rPr>
                <w:b/>
              </w:rPr>
              <w:t xml:space="preserve"> – both positive and negative</w:t>
            </w:r>
          </w:p>
          <w:p w14:paraId="634E4C80" w14:textId="77777777" w:rsidR="00B828D9" w:rsidRDefault="00B828D9" w:rsidP="00A2483D">
            <w:pPr>
              <w:pStyle w:val="NoSpacing"/>
              <w:rPr>
                <w:sz w:val="20"/>
              </w:rPr>
            </w:pPr>
            <w:proofErr w:type="gramStart"/>
            <w:r w:rsidRPr="00EA6987">
              <w:rPr>
                <w:sz w:val="20"/>
              </w:rPr>
              <w:t>i.e.</w:t>
            </w:r>
            <w:proofErr w:type="gramEnd"/>
            <w:r w:rsidRPr="00EA6987">
              <w:rPr>
                <w:sz w:val="20"/>
              </w:rPr>
              <w:t xml:space="preserve"> positive or negative side effects of the measure on public health, environment</w:t>
            </w:r>
            <w:r>
              <w:rPr>
                <w:sz w:val="20"/>
              </w:rPr>
              <w:t xml:space="preserve"> including</w:t>
            </w:r>
            <w:r w:rsidRPr="00EA6987">
              <w:rPr>
                <w:sz w:val="20"/>
              </w:rPr>
              <w:t xml:space="preserve"> non-targeted species, etc.</w:t>
            </w:r>
          </w:p>
          <w:p w14:paraId="4DD9C4A2" w14:textId="77777777" w:rsidR="00B828D9" w:rsidRDefault="00B828D9" w:rsidP="00A2483D">
            <w:pPr>
              <w:pStyle w:val="NoSpacing"/>
              <w:rPr>
                <w:b/>
              </w:rPr>
            </w:pPr>
          </w:p>
          <w:p w14:paraId="3659578A" w14:textId="77777777" w:rsidR="00B828D9" w:rsidRPr="0039672E" w:rsidRDefault="00B828D9" w:rsidP="00A2483D">
            <w:pPr>
              <w:pStyle w:val="NoSpacing"/>
              <w:rPr>
                <w:b/>
              </w:rPr>
            </w:pPr>
            <w:r>
              <w:rPr>
                <w:sz w:val="20"/>
              </w:rPr>
              <w:t xml:space="preserve">For each of the side effect types please select one of the impact </w:t>
            </w:r>
            <w:r>
              <w:rPr>
                <w:sz w:val="20"/>
              </w:rPr>
              <w:lastRenderedPageBreak/>
              <w:t>categories (with an ‘X’), and provide a rationale, with supporting evidence and examples if possible.</w:t>
            </w:r>
          </w:p>
        </w:tc>
        <w:tc>
          <w:tcPr>
            <w:tcW w:w="10653" w:type="dxa"/>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B828D9" w14:paraId="63CFFE93" w14:textId="77777777" w:rsidTr="00292074">
              <w:tc>
                <w:tcPr>
                  <w:tcW w:w="2116" w:type="dxa"/>
                </w:tcPr>
                <w:p w14:paraId="1C801710" w14:textId="77777777" w:rsidR="00B828D9" w:rsidRPr="002E17F6" w:rsidRDefault="00B828D9" w:rsidP="00A2483D">
                  <w:pPr>
                    <w:pStyle w:val="NoSpacing"/>
                    <w:rPr>
                      <w:b/>
                      <w:i/>
                      <w:sz w:val="20"/>
                    </w:rPr>
                  </w:pPr>
                  <w:r w:rsidRPr="002E17F6">
                    <w:rPr>
                      <w:b/>
                      <w:i/>
                      <w:sz w:val="20"/>
                    </w:rPr>
                    <w:lastRenderedPageBreak/>
                    <w:t>Environmental</w:t>
                  </w:r>
                  <w:r>
                    <w:rPr>
                      <w:b/>
                      <w:i/>
                      <w:sz w:val="20"/>
                    </w:rPr>
                    <w:t xml:space="preserve"> effects</w:t>
                  </w:r>
                </w:p>
              </w:tc>
              <w:tc>
                <w:tcPr>
                  <w:tcW w:w="1701" w:type="dxa"/>
                </w:tcPr>
                <w:p w14:paraId="790170B0" w14:textId="77777777" w:rsidR="00B828D9" w:rsidRDefault="00B828D9" w:rsidP="00A2483D">
                  <w:pPr>
                    <w:pStyle w:val="NoSpacing"/>
                    <w:jc w:val="right"/>
                    <w:rPr>
                      <w:i/>
                      <w:sz w:val="20"/>
                    </w:rPr>
                  </w:pPr>
                  <w:r>
                    <w:rPr>
                      <w:i/>
                      <w:sz w:val="20"/>
                    </w:rPr>
                    <w:t>Positive</w:t>
                  </w:r>
                </w:p>
              </w:tc>
              <w:tc>
                <w:tcPr>
                  <w:tcW w:w="425" w:type="dxa"/>
                  <w:shd w:val="clear" w:color="auto" w:fill="FDE9D9" w:themeFill="accent6" w:themeFillTint="33"/>
                </w:tcPr>
                <w:p w14:paraId="474D12C3" w14:textId="77777777" w:rsidR="00B828D9" w:rsidRDefault="00B828D9" w:rsidP="00A2483D">
                  <w:pPr>
                    <w:pStyle w:val="NoSpacing"/>
                    <w:jc w:val="right"/>
                    <w:rPr>
                      <w:i/>
                      <w:sz w:val="20"/>
                    </w:rPr>
                  </w:pPr>
                </w:p>
              </w:tc>
              <w:tc>
                <w:tcPr>
                  <w:tcW w:w="2268" w:type="dxa"/>
                </w:tcPr>
                <w:p w14:paraId="72D5A25F" w14:textId="77777777" w:rsidR="00B828D9" w:rsidRDefault="00B828D9" w:rsidP="00A2483D">
                  <w:pPr>
                    <w:pStyle w:val="NoSpacing"/>
                    <w:jc w:val="right"/>
                    <w:rPr>
                      <w:i/>
                      <w:sz w:val="20"/>
                    </w:rPr>
                  </w:pPr>
                  <w:r>
                    <w:rPr>
                      <w:i/>
                      <w:sz w:val="20"/>
                    </w:rPr>
                    <w:t>Neutral or mixed</w:t>
                  </w:r>
                </w:p>
              </w:tc>
              <w:tc>
                <w:tcPr>
                  <w:tcW w:w="425" w:type="dxa"/>
                  <w:shd w:val="clear" w:color="auto" w:fill="FDE9D9" w:themeFill="accent6" w:themeFillTint="33"/>
                </w:tcPr>
                <w:p w14:paraId="08C3070F" w14:textId="77777777" w:rsidR="00B828D9" w:rsidRDefault="00B828D9" w:rsidP="00A2483D">
                  <w:pPr>
                    <w:pStyle w:val="NoSpacing"/>
                    <w:jc w:val="right"/>
                    <w:rPr>
                      <w:i/>
                      <w:sz w:val="20"/>
                    </w:rPr>
                  </w:pPr>
                </w:p>
              </w:tc>
              <w:tc>
                <w:tcPr>
                  <w:tcW w:w="2002" w:type="dxa"/>
                </w:tcPr>
                <w:p w14:paraId="3CF27755" w14:textId="77777777" w:rsidR="00B828D9" w:rsidRDefault="00B828D9" w:rsidP="00A2483D">
                  <w:pPr>
                    <w:pStyle w:val="NoSpacing"/>
                    <w:jc w:val="right"/>
                    <w:rPr>
                      <w:i/>
                      <w:sz w:val="20"/>
                    </w:rPr>
                  </w:pPr>
                  <w:r>
                    <w:rPr>
                      <w:i/>
                      <w:sz w:val="20"/>
                    </w:rPr>
                    <w:t>Negative</w:t>
                  </w:r>
                </w:p>
              </w:tc>
              <w:tc>
                <w:tcPr>
                  <w:tcW w:w="408" w:type="dxa"/>
                  <w:shd w:val="clear" w:color="auto" w:fill="FDE9D9" w:themeFill="accent6" w:themeFillTint="33"/>
                </w:tcPr>
                <w:p w14:paraId="3CD8CA27" w14:textId="2E8553B0" w:rsidR="00B828D9" w:rsidRDefault="003B1374" w:rsidP="00A2483D">
                  <w:pPr>
                    <w:pStyle w:val="NoSpacing"/>
                    <w:rPr>
                      <w:i/>
                      <w:sz w:val="20"/>
                    </w:rPr>
                  </w:pPr>
                  <w:r>
                    <w:rPr>
                      <w:i/>
                      <w:sz w:val="20"/>
                    </w:rPr>
                    <w:t>X</w:t>
                  </w:r>
                </w:p>
              </w:tc>
            </w:tr>
            <w:tr w:rsidR="00B828D9" w14:paraId="3FB24FA7" w14:textId="77777777" w:rsidTr="00292074">
              <w:tc>
                <w:tcPr>
                  <w:tcW w:w="2116" w:type="dxa"/>
                </w:tcPr>
                <w:p w14:paraId="3D664763" w14:textId="77777777" w:rsidR="00B828D9" w:rsidRPr="002E17F6" w:rsidRDefault="00B828D9" w:rsidP="00A2483D">
                  <w:pPr>
                    <w:pStyle w:val="NoSpacing"/>
                    <w:rPr>
                      <w:b/>
                      <w:i/>
                      <w:sz w:val="20"/>
                    </w:rPr>
                  </w:pPr>
                  <w:r w:rsidRPr="002E17F6">
                    <w:rPr>
                      <w:b/>
                      <w:i/>
                      <w:sz w:val="20"/>
                    </w:rPr>
                    <w:t>Social</w:t>
                  </w:r>
                  <w:r>
                    <w:rPr>
                      <w:b/>
                      <w:i/>
                      <w:sz w:val="20"/>
                    </w:rPr>
                    <w:t xml:space="preserve"> effects</w:t>
                  </w:r>
                </w:p>
              </w:tc>
              <w:tc>
                <w:tcPr>
                  <w:tcW w:w="1701" w:type="dxa"/>
                </w:tcPr>
                <w:p w14:paraId="17CD6FB8" w14:textId="77777777" w:rsidR="00B828D9" w:rsidRDefault="00B828D9" w:rsidP="00A2483D">
                  <w:pPr>
                    <w:pStyle w:val="NoSpacing"/>
                    <w:jc w:val="right"/>
                    <w:rPr>
                      <w:i/>
                      <w:sz w:val="20"/>
                    </w:rPr>
                  </w:pPr>
                  <w:r>
                    <w:rPr>
                      <w:i/>
                      <w:sz w:val="20"/>
                    </w:rPr>
                    <w:t>Positive</w:t>
                  </w:r>
                </w:p>
              </w:tc>
              <w:tc>
                <w:tcPr>
                  <w:tcW w:w="425" w:type="dxa"/>
                  <w:shd w:val="clear" w:color="auto" w:fill="FDE9D9" w:themeFill="accent6" w:themeFillTint="33"/>
                </w:tcPr>
                <w:p w14:paraId="3F4395A6" w14:textId="77777777" w:rsidR="00B828D9" w:rsidRDefault="00B828D9" w:rsidP="00A2483D">
                  <w:pPr>
                    <w:pStyle w:val="NoSpacing"/>
                    <w:jc w:val="right"/>
                    <w:rPr>
                      <w:i/>
                      <w:sz w:val="20"/>
                    </w:rPr>
                  </w:pPr>
                </w:p>
              </w:tc>
              <w:tc>
                <w:tcPr>
                  <w:tcW w:w="2268" w:type="dxa"/>
                </w:tcPr>
                <w:p w14:paraId="1ED0D6CD" w14:textId="77777777" w:rsidR="00B828D9" w:rsidRDefault="00B828D9" w:rsidP="00A2483D">
                  <w:pPr>
                    <w:pStyle w:val="NoSpacing"/>
                    <w:jc w:val="right"/>
                    <w:rPr>
                      <w:i/>
                      <w:sz w:val="20"/>
                    </w:rPr>
                  </w:pPr>
                  <w:r>
                    <w:rPr>
                      <w:i/>
                      <w:sz w:val="20"/>
                    </w:rPr>
                    <w:t>Neutral or mixed</w:t>
                  </w:r>
                </w:p>
              </w:tc>
              <w:tc>
                <w:tcPr>
                  <w:tcW w:w="425" w:type="dxa"/>
                  <w:shd w:val="clear" w:color="auto" w:fill="FDE9D9" w:themeFill="accent6" w:themeFillTint="33"/>
                </w:tcPr>
                <w:p w14:paraId="4CCD339D" w14:textId="4BE86366" w:rsidR="00B828D9" w:rsidRDefault="003B1374" w:rsidP="00A2483D">
                  <w:pPr>
                    <w:pStyle w:val="NoSpacing"/>
                    <w:jc w:val="right"/>
                    <w:rPr>
                      <w:i/>
                      <w:sz w:val="20"/>
                    </w:rPr>
                  </w:pPr>
                  <w:r>
                    <w:rPr>
                      <w:i/>
                      <w:sz w:val="20"/>
                    </w:rPr>
                    <w:t>X</w:t>
                  </w:r>
                </w:p>
              </w:tc>
              <w:tc>
                <w:tcPr>
                  <w:tcW w:w="2002" w:type="dxa"/>
                </w:tcPr>
                <w:p w14:paraId="7741F043" w14:textId="77777777" w:rsidR="00B828D9" w:rsidRDefault="00B828D9" w:rsidP="00A2483D">
                  <w:pPr>
                    <w:pStyle w:val="NoSpacing"/>
                    <w:jc w:val="right"/>
                    <w:rPr>
                      <w:i/>
                      <w:sz w:val="20"/>
                    </w:rPr>
                  </w:pPr>
                  <w:r>
                    <w:rPr>
                      <w:i/>
                      <w:sz w:val="20"/>
                    </w:rPr>
                    <w:t>Negative</w:t>
                  </w:r>
                </w:p>
              </w:tc>
              <w:tc>
                <w:tcPr>
                  <w:tcW w:w="408" w:type="dxa"/>
                  <w:shd w:val="clear" w:color="auto" w:fill="FDE9D9" w:themeFill="accent6" w:themeFillTint="33"/>
                </w:tcPr>
                <w:p w14:paraId="37AB3F90" w14:textId="77777777" w:rsidR="00B828D9" w:rsidRDefault="00B828D9" w:rsidP="00A2483D">
                  <w:pPr>
                    <w:pStyle w:val="NoSpacing"/>
                    <w:rPr>
                      <w:i/>
                      <w:sz w:val="20"/>
                    </w:rPr>
                  </w:pPr>
                </w:p>
              </w:tc>
            </w:tr>
            <w:tr w:rsidR="00B828D9" w14:paraId="79F5C1FE" w14:textId="77777777" w:rsidTr="00292074">
              <w:tc>
                <w:tcPr>
                  <w:tcW w:w="2116" w:type="dxa"/>
                </w:tcPr>
                <w:p w14:paraId="36A6996D" w14:textId="77777777" w:rsidR="00B828D9" w:rsidRPr="002E17F6" w:rsidRDefault="00B828D9" w:rsidP="00A2483D">
                  <w:pPr>
                    <w:pStyle w:val="NoSpacing"/>
                    <w:rPr>
                      <w:b/>
                      <w:i/>
                      <w:sz w:val="20"/>
                    </w:rPr>
                  </w:pPr>
                  <w:r w:rsidRPr="002E17F6">
                    <w:rPr>
                      <w:b/>
                      <w:i/>
                      <w:sz w:val="20"/>
                    </w:rPr>
                    <w:t>Economic</w:t>
                  </w:r>
                  <w:r>
                    <w:rPr>
                      <w:b/>
                      <w:i/>
                      <w:sz w:val="20"/>
                    </w:rPr>
                    <w:t xml:space="preserve"> effects</w:t>
                  </w:r>
                </w:p>
              </w:tc>
              <w:tc>
                <w:tcPr>
                  <w:tcW w:w="1701" w:type="dxa"/>
                </w:tcPr>
                <w:p w14:paraId="3058C9AF" w14:textId="77777777" w:rsidR="00B828D9" w:rsidRDefault="00B828D9" w:rsidP="00A2483D">
                  <w:pPr>
                    <w:pStyle w:val="NoSpacing"/>
                    <w:jc w:val="right"/>
                    <w:rPr>
                      <w:i/>
                      <w:sz w:val="20"/>
                    </w:rPr>
                  </w:pPr>
                  <w:r>
                    <w:rPr>
                      <w:i/>
                      <w:sz w:val="20"/>
                    </w:rPr>
                    <w:t>Positive</w:t>
                  </w:r>
                </w:p>
              </w:tc>
              <w:tc>
                <w:tcPr>
                  <w:tcW w:w="425" w:type="dxa"/>
                  <w:shd w:val="clear" w:color="auto" w:fill="FDE9D9" w:themeFill="accent6" w:themeFillTint="33"/>
                </w:tcPr>
                <w:p w14:paraId="593E054E" w14:textId="4FC6AA16" w:rsidR="00B828D9" w:rsidRDefault="00B016E1" w:rsidP="00A2483D">
                  <w:pPr>
                    <w:pStyle w:val="NoSpacing"/>
                    <w:jc w:val="right"/>
                    <w:rPr>
                      <w:i/>
                      <w:sz w:val="20"/>
                    </w:rPr>
                  </w:pPr>
                  <w:r>
                    <w:rPr>
                      <w:i/>
                      <w:sz w:val="20"/>
                    </w:rPr>
                    <w:t>X</w:t>
                  </w:r>
                </w:p>
              </w:tc>
              <w:tc>
                <w:tcPr>
                  <w:tcW w:w="2268" w:type="dxa"/>
                </w:tcPr>
                <w:p w14:paraId="3B5E6D29" w14:textId="77777777" w:rsidR="00B828D9" w:rsidRDefault="00B828D9" w:rsidP="00A2483D">
                  <w:pPr>
                    <w:pStyle w:val="NoSpacing"/>
                    <w:jc w:val="right"/>
                    <w:rPr>
                      <w:i/>
                      <w:sz w:val="20"/>
                    </w:rPr>
                  </w:pPr>
                  <w:r>
                    <w:rPr>
                      <w:i/>
                      <w:sz w:val="20"/>
                    </w:rPr>
                    <w:t>Neutral or mixed</w:t>
                  </w:r>
                </w:p>
              </w:tc>
              <w:tc>
                <w:tcPr>
                  <w:tcW w:w="425" w:type="dxa"/>
                  <w:shd w:val="clear" w:color="auto" w:fill="FDE9D9" w:themeFill="accent6" w:themeFillTint="33"/>
                </w:tcPr>
                <w:p w14:paraId="308E7FFC" w14:textId="17565171" w:rsidR="00B828D9" w:rsidRDefault="00B828D9" w:rsidP="00A2483D">
                  <w:pPr>
                    <w:pStyle w:val="NoSpacing"/>
                    <w:jc w:val="right"/>
                    <w:rPr>
                      <w:i/>
                      <w:sz w:val="20"/>
                    </w:rPr>
                  </w:pPr>
                </w:p>
              </w:tc>
              <w:tc>
                <w:tcPr>
                  <w:tcW w:w="2002" w:type="dxa"/>
                </w:tcPr>
                <w:p w14:paraId="65D0A1F7" w14:textId="77777777" w:rsidR="00B828D9" w:rsidRDefault="00B828D9" w:rsidP="00A2483D">
                  <w:pPr>
                    <w:pStyle w:val="NoSpacing"/>
                    <w:jc w:val="right"/>
                    <w:rPr>
                      <w:i/>
                      <w:sz w:val="20"/>
                    </w:rPr>
                  </w:pPr>
                  <w:r>
                    <w:rPr>
                      <w:i/>
                      <w:sz w:val="20"/>
                    </w:rPr>
                    <w:t>Negative</w:t>
                  </w:r>
                </w:p>
              </w:tc>
              <w:tc>
                <w:tcPr>
                  <w:tcW w:w="408" w:type="dxa"/>
                  <w:shd w:val="clear" w:color="auto" w:fill="FDE9D9" w:themeFill="accent6" w:themeFillTint="33"/>
                </w:tcPr>
                <w:p w14:paraId="0FE25C25" w14:textId="77777777" w:rsidR="00B828D9" w:rsidRDefault="00B828D9" w:rsidP="00A2483D">
                  <w:pPr>
                    <w:pStyle w:val="NoSpacing"/>
                    <w:rPr>
                      <w:i/>
                      <w:sz w:val="20"/>
                    </w:rPr>
                  </w:pPr>
                </w:p>
              </w:tc>
            </w:tr>
          </w:tbl>
          <w:p w14:paraId="64202335" w14:textId="77777777" w:rsidR="00B828D9" w:rsidRDefault="00B828D9" w:rsidP="00A2483D">
            <w:pPr>
              <w:pStyle w:val="NoSpacing"/>
              <w:rPr>
                <w:i/>
                <w:sz w:val="20"/>
              </w:rPr>
            </w:pPr>
          </w:p>
          <w:p w14:paraId="3FF3A4DC" w14:textId="77777777" w:rsidR="00B828D9" w:rsidRDefault="00B828D9" w:rsidP="00A2483D">
            <w:pPr>
              <w:pStyle w:val="NoSpacing"/>
              <w:rPr>
                <w:sz w:val="20"/>
              </w:rPr>
            </w:pPr>
            <w:r w:rsidRPr="00C856F5">
              <w:rPr>
                <w:i/>
                <w:sz w:val="20"/>
              </w:rPr>
              <w:t>Rationale</w:t>
            </w:r>
            <w:r>
              <w:rPr>
                <w:sz w:val="20"/>
              </w:rPr>
              <w:t>:</w:t>
            </w:r>
          </w:p>
          <w:p w14:paraId="5739B614" w14:textId="4E6F96F1" w:rsidR="004D77F8" w:rsidRDefault="003B1374" w:rsidP="001F07A8">
            <w:pPr>
              <w:pStyle w:val="NoSpacing"/>
            </w:pPr>
            <w:r w:rsidRPr="004D77F8">
              <w:t xml:space="preserve">There are </w:t>
            </w:r>
            <w:r w:rsidR="00784789" w:rsidRPr="004D77F8">
              <w:t>many negative side</w:t>
            </w:r>
            <w:r w:rsidR="00B016E1">
              <w:t xml:space="preserve"> </w:t>
            </w:r>
            <w:r w:rsidR="00784789" w:rsidRPr="004D77F8">
              <w:t>effects of this measure. Smaller crabs are less marketable</w:t>
            </w:r>
            <w:r w:rsidR="00B016E1">
              <w:t>,</w:t>
            </w:r>
            <w:r w:rsidR="00784789" w:rsidRPr="004D77F8">
              <w:t xml:space="preserve"> so may not be effectively controlled (Eber</w:t>
            </w:r>
            <w:r w:rsidR="00817E5E">
              <w:t>h</w:t>
            </w:r>
            <w:r w:rsidR="00784789" w:rsidRPr="004D77F8">
              <w:t xml:space="preserve">ardt et al., 2016). </w:t>
            </w:r>
            <w:r w:rsidR="00B016E1">
              <w:t>In addition, i</w:t>
            </w:r>
            <w:r w:rsidR="006F67E3" w:rsidRPr="004D77F8">
              <w:t>t may increase the risk of spread (both intentionally and unintentionally). Promoting the species for</w:t>
            </w:r>
            <w:r w:rsidR="00040D03" w:rsidRPr="004D77F8">
              <w:t xml:space="preserve"> </w:t>
            </w:r>
            <w:r w:rsidR="006F67E3" w:rsidRPr="004D77F8">
              <w:t>its economic value may decrease understanding of the need for their control (Eber</w:t>
            </w:r>
            <w:r w:rsidR="00817E5E">
              <w:t>h</w:t>
            </w:r>
            <w:r w:rsidR="006F67E3" w:rsidRPr="004D77F8">
              <w:t>ardt et al., 2016). Finally, p</w:t>
            </w:r>
            <w:r w:rsidR="001F07A8" w:rsidRPr="004D77F8">
              <w:t>ublic health implications are</w:t>
            </w:r>
            <w:r w:rsidR="006F67E3" w:rsidRPr="004D77F8">
              <w:t xml:space="preserve"> </w:t>
            </w:r>
            <w:r w:rsidR="001F07A8" w:rsidRPr="004D77F8">
              <w:t>unclear</w:t>
            </w:r>
            <w:r w:rsidR="00B016E1">
              <w:t>,</w:t>
            </w:r>
            <w:r w:rsidR="001F07A8" w:rsidRPr="004D77F8">
              <w:t xml:space="preserve"> e.g., bioaccumulation</w:t>
            </w:r>
            <w:r w:rsidR="006F67E3" w:rsidRPr="004D77F8">
              <w:t xml:space="preserve"> </w:t>
            </w:r>
            <w:r w:rsidR="001F07A8" w:rsidRPr="004D77F8">
              <w:t>of contaminants</w:t>
            </w:r>
            <w:r w:rsidR="00B016E1">
              <w:t xml:space="preserve"> </w:t>
            </w:r>
            <w:r w:rsidR="00B016E1">
              <w:lastRenderedPageBreak/>
              <w:t>or</w:t>
            </w:r>
            <w:r w:rsidR="001F07A8" w:rsidRPr="004D77F8">
              <w:t xml:space="preserve"> pathogens</w:t>
            </w:r>
            <w:r w:rsidR="00C661BF" w:rsidRPr="004D77F8">
              <w:t xml:space="preserve"> present in the species: Chinese mitten crab is the second intermediate host for human lung fluke parasite, </w:t>
            </w:r>
            <w:proofErr w:type="spellStart"/>
            <w:r w:rsidR="00C661BF" w:rsidRPr="004D77F8">
              <w:rPr>
                <w:i/>
              </w:rPr>
              <w:t>Paragonimus</w:t>
            </w:r>
            <w:proofErr w:type="spellEnd"/>
            <w:r w:rsidR="00C661BF" w:rsidRPr="004D77F8">
              <w:rPr>
                <w:i/>
              </w:rPr>
              <w:t xml:space="preserve"> </w:t>
            </w:r>
            <w:proofErr w:type="spellStart"/>
            <w:r w:rsidR="00C661BF" w:rsidRPr="004D77F8">
              <w:rPr>
                <w:i/>
              </w:rPr>
              <w:t>westermanii</w:t>
            </w:r>
            <w:proofErr w:type="spellEnd"/>
            <w:r w:rsidR="00C661BF" w:rsidRPr="004D77F8">
              <w:rPr>
                <w:i/>
              </w:rPr>
              <w:t xml:space="preserve"> </w:t>
            </w:r>
            <w:r w:rsidR="00C661BF" w:rsidRPr="004D77F8">
              <w:t xml:space="preserve">in Asia </w:t>
            </w:r>
            <w:r w:rsidR="00B016E1">
              <w:t>(</w:t>
            </w:r>
            <w:proofErr w:type="spellStart"/>
            <w:r w:rsidR="00C661BF" w:rsidRPr="004D77F8">
              <w:t>Gollasch</w:t>
            </w:r>
            <w:proofErr w:type="spellEnd"/>
            <w:r w:rsidR="00C661BF" w:rsidRPr="004D77F8">
              <w:t>, 2011</w:t>
            </w:r>
            <w:r w:rsidR="001F07A8" w:rsidRPr="004D77F8">
              <w:t>)</w:t>
            </w:r>
            <w:r w:rsidR="006F67E3" w:rsidRPr="004D77F8">
              <w:t>.</w:t>
            </w:r>
          </w:p>
          <w:p w14:paraId="5C8F99AB" w14:textId="3933CA49" w:rsidR="00B016E1" w:rsidRDefault="00B016E1" w:rsidP="001F07A8">
            <w:pPr>
              <w:pStyle w:val="NoSpacing"/>
            </w:pPr>
            <w:r>
              <w:t>There would be a positive economic side effect related to an</w:t>
            </w:r>
            <w:r w:rsidRPr="00B016E1">
              <w:t xml:space="preserve"> economic incentive or </w:t>
            </w:r>
            <w:r w:rsidR="00645CEA">
              <w:t xml:space="preserve">to </w:t>
            </w:r>
            <w:r w:rsidRPr="00B016E1">
              <w:t>selling caught specimens</w:t>
            </w:r>
            <w:r>
              <w:t>.</w:t>
            </w:r>
          </w:p>
          <w:p w14:paraId="256E2149" w14:textId="6C372F6B" w:rsidR="004D77F8" w:rsidRPr="004D77F8" w:rsidRDefault="00B24C3B" w:rsidP="001F07A8">
            <w:pPr>
              <w:pStyle w:val="NoSpacing"/>
            </w:pPr>
            <w:r w:rsidRPr="004D77F8">
              <w:t>According to EU Regulation 1143/2014, art. 19 “The commercial use of already established invasive alien species may be temporarily allowed as part of the management measures aimed at their eradication, population control or containment, under</w:t>
            </w:r>
            <w:r>
              <w:t xml:space="preserve"> </w:t>
            </w:r>
            <w:r w:rsidRPr="004D77F8">
              <w:t xml:space="preserve">strict justification and provided that all appropriate controls are in place to avoid any further spread”. </w:t>
            </w:r>
            <w:r w:rsidR="00645CEA">
              <w:t>As such, the use of t</w:t>
            </w:r>
            <w:r w:rsidRPr="004D77F8">
              <w:t>his measure should be carefully evaluated</w:t>
            </w:r>
            <w:r>
              <w:t>,</w:t>
            </w:r>
            <w:r w:rsidRPr="004D77F8">
              <w:t xml:space="preserve"> case by case.</w:t>
            </w:r>
          </w:p>
          <w:p w14:paraId="01086863" w14:textId="1E35F8B3" w:rsidR="00B828D9" w:rsidRPr="002B6463" w:rsidRDefault="00B828D9" w:rsidP="001F07A8">
            <w:pPr>
              <w:pStyle w:val="NoSpacing"/>
              <w:rPr>
                <w:sz w:val="20"/>
              </w:rPr>
            </w:pPr>
          </w:p>
        </w:tc>
      </w:tr>
      <w:tr w:rsidR="00B828D9" w:rsidRPr="00C75EDD" w14:paraId="141F090C" w14:textId="77777777" w:rsidTr="00292074">
        <w:tc>
          <w:tcPr>
            <w:tcW w:w="3295" w:type="dxa"/>
            <w:shd w:val="clear" w:color="auto" w:fill="FDE9D9" w:themeFill="accent6" w:themeFillTint="33"/>
          </w:tcPr>
          <w:p w14:paraId="27AAE428" w14:textId="77777777" w:rsidR="00B828D9" w:rsidRPr="0039672E" w:rsidRDefault="00B828D9" w:rsidP="00A2483D">
            <w:pPr>
              <w:pStyle w:val="NoSpacing"/>
              <w:rPr>
                <w:b/>
              </w:rPr>
            </w:pPr>
            <w:r w:rsidRPr="0039672E">
              <w:rPr>
                <w:b/>
              </w:rPr>
              <w:lastRenderedPageBreak/>
              <w:t>Acceptability to stakeholders</w:t>
            </w:r>
          </w:p>
          <w:p w14:paraId="61FF92F8" w14:textId="77777777" w:rsidR="00B828D9" w:rsidRDefault="00B828D9" w:rsidP="00A2483D">
            <w:pPr>
              <w:pStyle w:val="NoSpacing"/>
              <w:rPr>
                <w:sz w:val="20"/>
              </w:rPr>
            </w:pPr>
            <w:proofErr w:type="gramStart"/>
            <w:r>
              <w:rPr>
                <w:sz w:val="20"/>
              </w:rPr>
              <w:t>e.g.</w:t>
            </w:r>
            <w:proofErr w:type="gramEnd"/>
            <w:r>
              <w:rPr>
                <w:sz w:val="20"/>
              </w:rPr>
              <w:t xml:space="preserve"> </w:t>
            </w:r>
            <w:r w:rsidRPr="00EA6987">
              <w:rPr>
                <w:sz w:val="20"/>
              </w:rPr>
              <w:t>impacted economic activities, animal welfare consid</w:t>
            </w:r>
            <w:r>
              <w:rPr>
                <w:sz w:val="20"/>
              </w:rPr>
              <w:t>erations, public perception, etc.</w:t>
            </w:r>
          </w:p>
          <w:p w14:paraId="24B61607" w14:textId="77777777" w:rsidR="00B828D9" w:rsidRDefault="00B828D9" w:rsidP="00A2483D">
            <w:pPr>
              <w:pStyle w:val="NoSpacing"/>
              <w:rPr>
                <w:sz w:val="20"/>
              </w:rPr>
            </w:pPr>
          </w:p>
          <w:p w14:paraId="7877CD87" w14:textId="77777777" w:rsidR="00B828D9" w:rsidRPr="002B6463" w:rsidRDefault="00B828D9" w:rsidP="00A2483D">
            <w:pPr>
              <w:pStyle w:val="NoSpacing"/>
              <w:rPr>
                <w:sz w:val="20"/>
              </w:rPr>
            </w:pPr>
            <w:r>
              <w:rPr>
                <w:sz w:val="20"/>
              </w:rPr>
              <w:t>Please select one of the categories of acceptability (with an ‘X’), and provide a rationale, with supporting evidence and examples if possible.</w:t>
            </w:r>
          </w:p>
        </w:tc>
        <w:tc>
          <w:tcPr>
            <w:tcW w:w="10653" w:type="dxa"/>
            <w:shd w:val="clear" w:color="auto" w:fill="auto"/>
          </w:tcPr>
          <w:tbl>
            <w:tblPr>
              <w:tblStyle w:val="TableGrid"/>
              <w:tblW w:w="0" w:type="auto"/>
              <w:tblLook w:val="04A0" w:firstRow="1" w:lastRow="0" w:firstColumn="1" w:lastColumn="0" w:noHBand="0" w:noVBand="1"/>
            </w:tblPr>
            <w:tblGrid>
              <w:gridCol w:w="2116"/>
              <w:gridCol w:w="1701"/>
              <w:gridCol w:w="425"/>
              <w:gridCol w:w="2268"/>
              <w:gridCol w:w="425"/>
              <w:gridCol w:w="2002"/>
              <w:gridCol w:w="408"/>
            </w:tblGrid>
            <w:tr w:rsidR="00B828D9" w14:paraId="129D0DE0" w14:textId="77777777" w:rsidTr="00292074">
              <w:tc>
                <w:tcPr>
                  <w:tcW w:w="2116" w:type="dxa"/>
                </w:tcPr>
                <w:p w14:paraId="27149CB8" w14:textId="77777777" w:rsidR="00B828D9" w:rsidRPr="002E17F6" w:rsidRDefault="00B828D9" w:rsidP="00A2483D">
                  <w:pPr>
                    <w:pStyle w:val="NoSpacing"/>
                    <w:rPr>
                      <w:b/>
                      <w:i/>
                      <w:sz w:val="20"/>
                    </w:rPr>
                  </w:pPr>
                  <w:r w:rsidRPr="002E17F6">
                    <w:rPr>
                      <w:b/>
                      <w:i/>
                      <w:sz w:val="20"/>
                    </w:rPr>
                    <w:t>Acceptability to stakeholders</w:t>
                  </w:r>
                </w:p>
              </w:tc>
              <w:tc>
                <w:tcPr>
                  <w:tcW w:w="1701" w:type="dxa"/>
                </w:tcPr>
                <w:p w14:paraId="5CCD0F3E" w14:textId="77777777" w:rsidR="00B828D9" w:rsidRDefault="00B828D9" w:rsidP="00A2483D">
                  <w:pPr>
                    <w:pStyle w:val="NoSpacing"/>
                    <w:jc w:val="right"/>
                    <w:rPr>
                      <w:i/>
                      <w:sz w:val="20"/>
                    </w:rPr>
                  </w:pPr>
                  <w:r>
                    <w:rPr>
                      <w:i/>
                      <w:sz w:val="20"/>
                    </w:rPr>
                    <w:t>Acceptable</w:t>
                  </w:r>
                </w:p>
              </w:tc>
              <w:tc>
                <w:tcPr>
                  <w:tcW w:w="425" w:type="dxa"/>
                  <w:shd w:val="clear" w:color="auto" w:fill="FDE9D9" w:themeFill="accent6" w:themeFillTint="33"/>
                </w:tcPr>
                <w:p w14:paraId="41CE938B" w14:textId="29D4EE4B" w:rsidR="00B828D9" w:rsidRDefault="003B1374" w:rsidP="00A2483D">
                  <w:pPr>
                    <w:pStyle w:val="NoSpacing"/>
                    <w:jc w:val="right"/>
                    <w:rPr>
                      <w:i/>
                      <w:sz w:val="20"/>
                    </w:rPr>
                  </w:pPr>
                  <w:r>
                    <w:rPr>
                      <w:i/>
                      <w:sz w:val="20"/>
                    </w:rPr>
                    <w:t>X</w:t>
                  </w:r>
                </w:p>
              </w:tc>
              <w:tc>
                <w:tcPr>
                  <w:tcW w:w="2268" w:type="dxa"/>
                </w:tcPr>
                <w:p w14:paraId="2CFF030E" w14:textId="77777777" w:rsidR="00B828D9" w:rsidRDefault="00B828D9" w:rsidP="00A2483D">
                  <w:pPr>
                    <w:pStyle w:val="NoSpacing"/>
                    <w:jc w:val="right"/>
                    <w:rPr>
                      <w:i/>
                      <w:sz w:val="20"/>
                    </w:rPr>
                  </w:pPr>
                  <w:r>
                    <w:rPr>
                      <w:i/>
                      <w:sz w:val="20"/>
                    </w:rPr>
                    <w:t>Neutral or mixed</w:t>
                  </w:r>
                </w:p>
              </w:tc>
              <w:tc>
                <w:tcPr>
                  <w:tcW w:w="425" w:type="dxa"/>
                  <w:shd w:val="clear" w:color="auto" w:fill="FDE9D9" w:themeFill="accent6" w:themeFillTint="33"/>
                </w:tcPr>
                <w:p w14:paraId="4E24F578" w14:textId="77777777" w:rsidR="00B828D9" w:rsidRDefault="00B828D9" w:rsidP="00A2483D">
                  <w:pPr>
                    <w:pStyle w:val="NoSpacing"/>
                    <w:jc w:val="right"/>
                    <w:rPr>
                      <w:i/>
                      <w:sz w:val="20"/>
                    </w:rPr>
                  </w:pPr>
                </w:p>
              </w:tc>
              <w:tc>
                <w:tcPr>
                  <w:tcW w:w="2002" w:type="dxa"/>
                </w:tcPr>
                <w:p w14:paraId="7AE9DE12" w14:textId="77777777" w:rsidR="00B828D9" w:rsidRDefault="00B828D9" w:rsidP="00A2483D">
                  <w:pPr>
                    <w:pStyle w:val="NoSpacing"/>
                    <w:jc w:val="right"/>
                    <w:rPr>
                      <w:i/>
                      <w:sz w:val="20"/>
                    </w:rPr>
                  </w:pPr>
                  <w:r>
                    <w:rPr>
                      <w:i/>
                      <w:sz w:val="20"/>
                    </w:rPr>
                    <w:t>Unacceptable</w:t>
                  </w:r>
                </w:p>
              </w:tc>
              <w:tc>
                <w:tcPr>
                  <w:tcW w:w="408" w:type="dxa"/>
                  <w:shd w:val="clear" w:color="auto" w:fill="FDE9D9" w:themeFill="accent6" w:themeFillTint="33"/>
                </w:tcPr>
                <w:p w14:paraId="78F964CD" w14:textId="77777777" w:rsidR="00B828D9" w:rsidRDefault="00B828D9" w:rsidP="00A2483D">
                  <w:pPr>
                    <w:pStyle w:val="NoSpacing"/>
                    <w:rPr>
                      <w:i/>
                      <w:sz w:val="20"/>
                    </w:rPr>
                  </w:pPr>
                </w:p>
              </w:tc>
            </w:tr>
          </w:tbl>
          <w:p w14:paraId="2E2A1887" w14:textId="77777777" w:rsidR="00B828D9" w:rsidRDefault="00B828D9" w:rsidP="00A2483D">
            <w:pPr>
              <w:pStyle w:val="NoSpacing"/>
              <w:rPr>
                <w:i/>
                <w:sz w:val="20"/>
              </w:rPr>
            </w:pPr>
          </w:p>
          <w:p w14:paraId="1FFBB7D4" w14:textId="77777777" w:rsidR="00B828D9" w:rsidRDefault="00B828D9" w:rsidP="00A2483D">
            <w:pPr>
              <w:pStyle w:val="NoSpacing"/>
              <w:rPr>
                <w:sz w:val="20"/>
              </w:rPr>
            </w:pPr>
            <w:r w:rsidRPr="00C856F5">
              <w:rPr>
                <w:i/>
                <w:sz w:val="20"/>
              </w:rPr>
              <w:t>Rationale</w:t>
            </w:r>
            <w:r>
              <w:rPr>
                <w:sz w:val="20"/>
              </w:rPr>
              <w:t>:</w:t>
            </w:r>
          </w:p>
          <w:p w14:paraId="16C8101E" w14:textId="69692924" w:rsidR="00B828D9" w:rsidRPr="00C75EDD" w:rsidRDefault="002A33C3" w:rsidP="003A0D82">
            <w:pPr>
              <w:pStyle w:val="NoSpacing"/>
              <w:rPr>
                <w:sz w:val="20"/>
              </w:rPr>
            </w:pPr>
            <w:r w:rsidRPr="004D77F8">
              <w:t xml:space="preserve">The measure </w:t>
            </w:r>
            <w:r w:rsidR="003A0D82">
              <w:t>should</w:t>
            </w:r>
            <w:r w:rsidR="003A0D82" w:rsidRPr="004D77F8">
              <w:t xml:space="preserve"> </w:t>
            </w:r>
            <w:r w:rsidRPr="004D77F8">
              <w:t xml:space="preserve">not encounter any resistance from stakeholders; they </w:t>
            </w:r>
            <w:r w:rsidR="003A0D82">
              <w:t>may</w:t>
            </w:r>
            <w:r w:rsidR="003A0D82" w:rsidRPr="004D77F8">
              <w:t xml:space="preserve"> </w:t>
            </w:r>
            <w:r w:rsidRPr="004D77F8">
              <w:t xml:space="preserve">promote it </w:t>
            </w:r>
            <w:r w:rsidR="005970E3" w:rsidRPr="004D77F8">
              <w:t xml:space="preserve">as an </w:t>
            </w:r>
            <w:r w:rsidR="003A0D82">
              <w:t xml:space="preserve">increased </w:t>
            </w:r>
            <w:r w:rsidR="005970E3" w:rsidRPr="004D77F8">
              <w:t>economic resource</w:t>
            </w:r>
            <w:r w:rsidR="00973C6B" w:rsidRPr="004D77F8">
              <w:t>.</w:t>
            </w:r>
          </w:p>
        </w:tc>
      </w:tr>
      <w:tr w:rsidR="00B828D9" w14:paraId="1FBF34EE" w14:textId="77777777" w:rsidTr="00292074">
        <w:tc>
          <w:tcPr>
            <w:tcW w:w="3295" w:type="dxa"/>
            <w:shd w:val="clear" w:color="auto" w:fill="FDE9D9" w:themeFill="accent6" w:themeFillTint="33"/>
          </w:tcPr>
          <w:p w14:paraId="05AAC30A" w14:textId="77777777" w:rsidR="00B828D9" w:rsidRPr="0039672E" w:rsidRDefault="00B828D9" w:rsidP="00A2483D">
            <w:pPr>
              <w:pStyle w:val="NoSpacing"/>
              <w:rPr>
                <w:b/>
              </w:rPr>
            </w:pPr>
            <w:r w:rsidRPr="0039672E">
              <w:rPr>
                <w:b/>
              </w:rPr>
              <w:t>Additional cost information</w:t>
            </w:r>
            <w:r>
              <w:rPr>
                <w:b/>
              </w:rPr>
              <w:t xml:space="preserve"> </w:t>
            </w:r>
            <w:r>
              <w:rPr>
                <w:b/>
                <w:vertAlign w:val="superscript"/>
              </w:rPr>
              <w:t>1</w:t>
            </w:r>
          </w:p>
          <w:p w14:paraId="03091A86" w14:textId="77777777" w:rsidR="00B828D9" w:rsidRDefault="00B828D9" w:rsidP="00A2483D">
            <w:pPr>
              <w:rPr>
                <w:sz w:val="20"/>
              </w:rPr>
            </w:pPr>
            <w:r>
              <w:rPr>
                <w:sz w:val="20"/>
              </w:rPr>
              <w:t xml:space="preserve">When not already included above, or in the species Risk Assessment. </w:t>
            </w:r>
          </w:p>
          <w:p w14:paraId="0F4B2986" w14:textId="77777777" w:rsidR="00B828D9" w:rsidRPr="00E662A4" w:rsidRDefault="00B828D9" w:rsidP="00A2483D">
            <w:pPr>
              <w:rPr>
                <w:sz w:val="20"/>
              </w:rPr>
            </w:pPr>
            <w:r>
              <w:rPr>
                <w:sz w:val="20"/>
              </w:rPr>
              <w:t xml:space="preserve">- </w:t>
            </w:r>
            <w:r w:rsidRPr="00E662A4">
              <w:rPr>
                <w:sz w:val="20"/>
              </w:rPr>
              <w:t>implementation cost for Member States</w:t>
            </w:r>
          </w:p>
          <w:p w14:paraId="5184BEEA" w14:textId="77777777" w:rsidR="00B828D9" w:rsidRPr="00E662A4" w:rsidRDefault="00B828D9" w:rsidP="00A2483D">
            <w:pPr>
              <w:rPr>
                <w:sz w:val="20"/>
              </w:rPr>
            </w:pPr>
            <w:r>
              <w:rPr>
                <w:sz w:val="20"/>
              </w:rPr>
              <w:t xml:space="preserve">- </w:t>
            </w:r>
            <w:r w:rsidRPr="00E662A4">
              <w:rPr>
                <w:sz w:val="20"/>
              </w:rPr>
              <w:t>the cost of inaction</w:t>
            </w:r>
          </w:p>
          <w:p w14:paraId="6C9D018E" w14:textId="77777777" w:rsidR="00B828D9" w:rsidRPr="00E662A4" w:rsidRDefault="00B828D9" w:rsidP="00A2483D">
            <w:pPr>
              <w:rPr>
                <w:sz w:val="20"/>
              </w:rPr>
            </w:pPr>
            <w:r>
              <w:rPr>
                <w:sz w:val="20"/>
              </w:rPr>
              <w:t xml:space="preserve">- </w:t>
            </w:r>
            <w:r w:rsidRPr="00E662A4">
              <w:rPr>
                <w:sz w:val="20"/>
              </w:rPr>
              <w:t>the cost-effectiveness</w:t>
            </w:r>
          </w:p>
          <w:p w14:paraId="4F67C7A1" w14:textId="77777777" w:rsidR="00B828D9" w:rsidRDefault="00B828D9" w:rsidP="00A2483D">
            <w:pPr>
              <w:pStyle w:val="NoSpacing"/>
              <w:rPr>
                <w:sz w:val="20"/>
              </w:rPr>
            </w:pPr>
            <w:r>
              <w:rPr>
                <w:sz w:val="20"/>
              </w:rPr>
              <w:t xml:space="preserve">- </w:t>
            </w:r>
            <w:r w:rsidRPr="00E662A4">
              <w:rPr>
                <w:sz w:val="20"/>
              </w:rPr>
              <w:t>the socio-economic aspects</w:t>
            </w:r>
          </w:p>
          <w:p w14:paraId="5B624D0B" w14:textId="77777777" w:rsidR="00FD0D4D" w:rsidRDefault="00FD0D4D" w:rsidP="00A2483D">
            <w:pPr>
              <w:pStyle w:val="NoSpacing"/>
              <w:rPr>
                <w:sz w:val="20"/>
              </w:rPr>
            </w:pPr>
          </w:p>
          <w:p w14:paraId="5E5189AA" w14:textId="65328BDD" w:rsidR="00FD0D4D" w:rsidRPr="002B6463" w:rsidRDefault="00FD0D4D" w:rsidP="00A2483D">
            <w:pPr>
              <w:pStyle w:val="NoSpacing"/>
              <w:rPr>
                <w:sz w:val="20"/>
              </w:rPr>
            </w:pPr>
            <w:r>
              <w:rPr>
                <w:sz w:val="20"/>
              </w:rPr>
              <w:t>Include quantitative &amp;/or qualitative data, and case studies (incl. from countries outside the EU).</w:t>
            </w:r>
          </w:p>
        </w:tc>
        <w:tc>
          <w:tcPr>
            <w:tcW w:w="10653" w:type="dxa"/>
          </w:tcPr>
          <w:p w14:paraId="791B19F1" w14:textId="3DA292C9" w:rsidR="00E017A6" w:rsidRDefault="00E017A6" w:rsidP="00E175EE">
            <w:pPr>
              <w:pStyle w:val="NoSpacing"/>
              <w:rPr>
                <w:sz w:val="20"/>
              </w:rPr>
            </w:pPr>
            <w:r>
              <w:t xml:space="preserve">In some cases, this measure could be the only technique for controlling the species, thus cost of inaction would be high. </w:t>
            </w:r>
          </w:p>
        </w:tc>
      </w:tr>
      <w:tr w:rsidR="00B828D9" w14:paraId="3A5A9193" w14:textId="77777777" w:rsidTr="00292074">
        <w:tc>
          <w:tcPr>
            <w:tcW w:w="3295" w:type="dxa"/>
            <w:tcBorders>
              <w:bottom w:val="single" w:sz="4" w:space="0" w:color="auto"/>
            </w:tcBorders>
            <w:shd w:val="clear" w:color="auto" w:fill="FDE9D9" w:themeFill="accent6" w:themeFillTint="33"/>
          </w:tcPr>
          <w:p w14:paraId="055E440A" w14:textId="77777777" w:rsidR="00B828D9" w:rsidRDefault="00B828D9" w:rsidP="00A2483D">
            <w:pPr>
              <w:pStyle w:val="NoSpacing"/>
              <w:rPr>
                <w:b/>
              </w:rPr>
            </w:pPr>
            <w:r w:rsidRPr="002B6463">
              <w:rPr>
                <w:b/>
              </w:rPr>
              <w:t>Level of confidence</w:t>
            </w:r>
            <w:r>
              <w:rPr>
                <w:b/>
              </w:rPr>
              <w:t xml:space="preserve"> on the information provided </w:t>
            </w:r>
            <w:r>
              <w:rPr>
                <w:b/>
                <w:vertAlign w:val="superscript"/>
              </w:rPr>
              <w:t>2</w:t>
            </w:r>
          </w:p>
          <w:p w14:paraId="0C64E23E" w14:textId="77777777" w:rsidR="00B828D9" w:rsidRDefault="00B828D9" w:rsidP="00A2483D">
            <w:pPr>
              <w:pStyle w:val="NoSpacing"/>
              <w:rPr>
                <w:rFonts w:eastAsia="Times New Roman" w:cstheme="minorHAnsi"/>
                <w:b/>
                <w:sz w:val="20"/>
                <w:szCs w:val="20"/>
              </w:rPr>
            </w:pPr>
          </w:p>
          <w:p w14:paraId="15481741" w14:textId="11ECDAE2" w:rsidR="00B828D9" w:rsidRPr="00DE32F5" w:rsidRDefault="00B828D9" w:rsidP="00A2483D">
            <w:pPr>
              <w:pStyle w:val="NoSpacing"/>
              <w:rPr>
                <w:sz w:val="20"/>
              </w:rPr>
            </w:pPr>
            <w:r w:rsidRPr="00DF3987">
              <w:rPr>
                <w:rFonts w:eastAsia="Times New Roman" w:cstheme="minorHAnsi"/>
                <w:sz w:val="20"/>
                <w:szCs w:val="20"/>
              </w:rPr>
              <w:t xml:space="preserve">Please </w:t>
            </w:r>
            <w:r w:rsidR="00C81F1E">
              <w:rPr>
                <w:rFonts w:eastAsia="Times New Roman" w:cstheme="minorHAnsi"/>
                <w:sz w:val="20"/>
                <w:szCs w:val="20"/>
              </w:rPr>
              <w:t>select</w:t>
            </w:r>
            <w:r w:rsidRPr="00DF3987">
              <w:rPr>
                <w:rFonts w:eastAsia="Times New Roman" w:cstheme="minorHAnsi"/>
                <w:sz w:val="20"/>
                <w:szCs w:val="20"/>
              </w:rPr>
              <w:t xml:space="preserve"> one of</w:t>
            </w:r>
            <w:r w:rsidR="007C64EE">
              <w:rPr>
                <w:rFonts w:eastAsia="Times New Roman" w:cstheme="minorHAnsi"/>
                <w:sz w:val="20"/>
                <w:szCs w:val="20"/>
              </w:rPr>
              <w:t xml:space="preserve"> the confidence categories a</w:t>
            </w:r>
            <w:r w:rsidRPr="00DF3987">
              <w:rPr>
                <w:rFonts w:eastAsia="Times New Roman" w:cstheme="minorHAnsi"/>
                <w:sz w:val="20"/>
                <w:szCs w:val="20"/>
              </w:rPr>
              <w:t>long with a statement to support the category chosen.</w:t>
            </w:r>
            <w:r>
              <w:rPr>
                <w:rFonts w:eastAsia="Times New Roman" w:cstheme="minorHAnsi"/>
                <w:sz w:val="20"/>
                <w:szCs w:val="20"/>
              </w:rPr>
              <w:t xml:space="preserve"> </w:t>
            </w:r>
            <w:r>
              <w:rPr>
                <w:sz w:val="20"/>
              </w:rPr>
              <w:t xml:space="preserve">See </w:t>
            </w:r>
            <w:r w:rsidRPr="00DF3987">
              <w:rPr>
                <w:i/>
                <w:sz w:val="20"/>
              </w:rPr>
              <w:t>Notes</w:t>
            </w:r>
            <w:r>
              <w:rPr>
                <w:sz w:val="20"/>
              </w:rPr>
              <w:t xml:space="preserve"> section at the bottom of this document.</w:t>
            </w:r>
          </w:p>
          <w:p w14:paraId="09B0CAF8" w14:textId="77777777" w:rsidR="00B828D9" w:rsidRDefault="00B828D9" w:rsidP="00A2483D">
            <w:pPr>
              <w:pStyle w:val="NoSpacing"/>
              <w:rPr>
                <w:sz w:val="20"/>
              </w:rPr>
            </w:pPr>
            <w:r>
              <w:rPr>
                <w:rFonts w:eastAsia="Times New Roman" w:cstheme="minorHAnsi"/>
                <w:b/>
                <w:sz w:val="20"/>
                <w:szCs w:val="20"/>
              </w:rPr>
              <w:lastRenderedPageBreak/>
              <w:t>NOTE – this is not related to the effectiveness of the measure</w:t>
            </w:r>
          </w:p>
        </w:tc>
        <w:tc>
          <w:tcPr>
            <w:tcW w:w="10653" w:type="dxa"/>
            <w:tcBorders>
              <w:bottom w:val="single" w:sz="4" w:space="0" w:color="auto"/>
            </w:tcBorders>
          </w:tcPr>
          <w:tbl>
            <w:tblPr>
              <w:tblStyle w:val="TableGrid"/>
              <w:tblW w:w="0" w:type="auto"/>
              <w:tblLook w:val="04A0" w:firstRow="1" w:lastRow="0" w:firstColumn="1" w:lastColumn="0" w:noHBand="0" w:noVBand="1"/>
            </w:tblPr>
            <w:tblGrid>
              <w:gridCol w:w="2024"/>
              <w:gridCol w:w="375"/>
              <w:gridCol w:w="1559"/>
              <w:gridCol w:w="426"/>
              <w:gridCol w:w="2126"/>
              <w:gridCol w:w="425"/>
              <w:gridCol w:w="2268"/>
              <w:gridCol w:w="425"/>
            </w:tblGrid>
            <w:tr w:rsidR="007C64EE" w:rsidRPr="00973C6B" w14:paraId="4FB024A6" w14:textId="77777777" w:rsidTr="007C64EE">
              <w:tc>
                <w:tcPr>
                  <w:tcW w:w="2024" w:type="dxa"/>
                </w:tcPr>
                <w:p w14:paraId="757AD382" w14:textId="77777777" w:rsidR="007C64EE" w:rsidRPr="00973C6B" w:rsidRDefault="007C64EE" w:rsidP="007C64EE">
                  <w:pPr>
                    <w:pStyle w:val="NoSpacing"/>
                    <w:rPr>
                      <w:i/>
                      <w:sz w:val="20"/>
                    </w:rPr>
                  </w:pPr>
                  <w:r w:rsidRPr="00973C6B">
                    <w:rPr>
                      <w:i/>
                      <w:sz w:val="20"/>
                    </w:rPr>
                    <w:lastRenderedPageBreak/>
                    <w:t>Inconclusive</w:t>
                  </w:r>
                </w:p>
                <w:p w14:paraId="044FDB2B" w14:textId="1647CE60" w:rsidR="00DD2E1F" w:rsidRPr="00973C6B" w:rsidRDefault="00DD2E1F" w:rsidP="007C64EE">
                  <w:pPr>
                    <w:pStyle w:val="NoSpacing"/>
                    <w:rPr>
                      <w:i/>
                      <w:sz w:val="20"/>
                    </w:rPr>
                  </w:pPr>
                </w:p>
              </w:tc>
              <w:tc>
                <w:tcPr>
                  <w:tcW w:w="375" w:type="dxa"/>
                  <w:shd w:val="clear" w:color="auto" w:fill="FDE9D9" w:themeFill="accent6" w:themeFillTint="33"/>
                </w:tcPr>
                <w:p w14:paraId="194533DB" w14:textId="77777777" w:rsidR="007C64EE" w:rsidRPr="00973C6B" w:rsidRDefault="007C64EE" w:rsidP="007C64EE">
                  <w:pPr>
                    <w:pStyle w:val="NoSpacing"/>
                    <w:jc w:val="right"/>
                    <w:rPr>
                      <w:i/>
                      <w:sz w:val="20"/>
                    </w:rPr>
                  </w:pPr>
                </w:p>
              </w:tc>
              <w:tc>
                <w:tcPr>
                  <w:tcW w:w="1559" w:type="dxa"/>
                </w:tcPr>
                <w:p w14:paraId="0697AF3B" w14:textId="2692BC50" w:rsidR="007C64EE" w:rsidRPr="00973C6B" w:rsidRDefault="007C64EE" w:rsidP="007C64EE">
                  <w:pPr>
                    <w:pStyle w:val="NoSpacing"/>
                    <w:jc w:val="right"/>
                    <w:rPr>
                      <w:i/>
                      <w:sz w:val="20"/>
                    </w:rPr>
                  </w:pPr>
                  <w:r w:rsidRPr="00973C6B">
                    <w:rPr>
                      <w:i/>
                      <w:sz w:val="20"/>
                    </w:rPr>
                    <w:t>Unresolved</w:t>
                  </w:r>
                </w:p>
              </w:tc>
              <w:tc>
                <w:tcPr>
                  <w:tcW w:w="426" w:type="dxa"/>
                  <w:shd w:val="clear" w:color="auto" w:fill="FDE9D9" w:themeFill="accent6" w:themeFillTint="33"/>
                </w:tcPr>
                <w:p w14:paraId="042A1D2A" w14:textId="4A9A0133" w:rsidR="007C64EE" w:rsidRPr="00973C6B" w:rsidRDefault="003678A6" w:rsidP="007C64EE">
                  <w:pPr>
                    <w:pStyle w:val="NoSpacing"/>
                    <w:jc w:val="right"/>
                    <w:rPr>
                      <w:i/>
                      <w:sz w:val="20"/>
                    </w:rPr>
                  </w:pPr>
                  <w:r>
                    <w:rPr>
                      <w:i/>
                      <w:sz w:val="20"/>
                    </w:rPr>
                    <w:t>X</w:t>
                  </w:r>
                </w:p>
              </w:tc>
              <w:tc>
                <w:tcPr>
                  <w:tcW w:w="2126" w:type="dxa"/>
                </w:tcPr>
                <w:p w14:paraId="5EAD869C" w14:textId="7530BABD" w:rsidR="007C64EE" w:rsidRPr="00973C6B" w:rsidRDefault="007C64EE" w:rsidP="007C64EE">
                  <w:pPr>
                    <w:pStyle w:val="NoSpacing"/>
                    <w:jc w:val="right"/>
                    <w:rPr>
                      <w:i/>
                      <w:sz w:val="20"/>
                    </w:rPr>
                  </w:pPr>
                  <w:r w:rsidRPr="00973C6B">
                    <w:rPr>
                      <w:i/>
                      <w:sz w:val="20"/>
                    </w:rPr>
                    <w:t>Established but incomplete</w:t>
                  </w:r>
                </w:p>
              </w:tc>
              <w:tc>
                <w:tcPr>
                  <w:tcW w:w="425" w:type="dxa"/>
                  <w:shd w:val="clear" w:color="auto" w:fill="FDE9D9" w:themeFill="accent6" w:themeFillTint="33"/>
                </w:tcPr>
                <w:p w14:paraId="4211EAE9" w14:textId="112CDA78" w:rsidR="007C64EE" w:rsidRPr="00973C6B" w:rsidRDefault="007C64EE" w:rsidP="007C64EE">
                  <w:pPr>
                    <w:pStyle w:val="NoSpacing"/>
                    <w:jc w:val="right"/>
                    <w:rPr>
                      <w:i/>
                      <w:sz w:val="20"/>
                    </w:rPr>
                  </w:pPr>
                </w:p>
              </w:tc>
              <w:tc>
                <w:tcPr>
                  <w:tcW w:w="2268" w:type="dxa"/>
                </w:tcPr>
                <w:p w14:paraId="446DB720" w14:textId="04FF8882" w:rsidR="007C64EE" w:rsidRPr="00973C6B" w:rsidRDefault="007C64EE" w:rsidP="007C64EE">
                  <w:pPr>
                    <w:pStyle w:val="NoSpacing"/>
                    <w:jc w:val="right"/>
                    <w:rPr>
                      <w:i/>
                      <w:sz w:val="20"/>
                    </w:rPr>
                  </w:pPr>
                  <w:r w:rsidRPr="00973C6B">
                    <w:rPr>
                      <w:i/>
                      <w:sz w:val="20"/>
                    </w:rPr>
                    <w:t>Well established</w:t>
                  </w:r>
                </w:p>
              </w:tc>
              <w:tc>
                <w:tcPr>
                  <w:tcW w:w="425" w:type="dxa"/>
                  <w:shd w:val="clear" w:color="auto" w:fill="FDE9D9" w:themeFill="accent6" w:themeFillTint="33"/>
                </w:tcPr>
                <w:p w14:paraId="40170F3B" w14:textId="77777777" w:rsidR="007C64EE" w:rsidRPr="00973C6B" w:rsidRDefault="007C64EE" w:rsidP="007C64EE">
                  <w:pPr>
                    <w:pStyle w:val="NoSpacing"/>
                    <w:rPr>
                      <w:i/>
                      <w:sz w:val="20"/>
                    </w:rPr>
                  </w:pPr>
                </w:p>
              </w:tc>
            </w:tr>
          </w:tbl>
          <w:p w14:paraId="13DB3B2F" w14:textId="77777777" w:rsidR="00B828D9" w:rsidRPr="00973C6B" w:rsidRDefault="00B828D9" w:rsidP="00A2483D">
            <w:pPr>
              <w:pStyle w:val="NoSpacing"/>
            </w:pPr>
          </w:p>
          <w:p w14:paraId="5C7A2B73" w14:textId="77777777" w:rsidR="007C64EE" w:rsidRPr="00973C6B" w:rsidRDefault="007C64EE" w:rsidP="007C64EE">
            <w:pPr>
              <w:pStyle w:val="NoSpacing"/>
              <w:rPr>
                <w:sz w:val="20"/>
              </w:rPr>
            </w:pPr>
            <w:r w:rsidRPr="00973C6B">
              <w:rPr>
                <w:i/>
                <w:sz w:val="20"/>
              </w:rPr>
              <w:t>Rationale</w:t>
            </w:r>
            <w:r w:rsidRPr="00973C6B">
              <w:rPr>
                <w:sz w:val="20"/>
              </w:rPr>
              <w:t>:</w:t>
            </w:r>
          </w:p>
          <w:p w14:paraId="010048D8" w14:textId="37DE5B11" w:rsidR="007C64EE" w:rsidRDefault="00973C6B" w:rsidP="00A2483D">
            <w:pPr>
              <w:pStyle w:val="NoSpacing"/>
            </w:pPr>
            <w:r w:rsidRPr="004D77F8">
              <w:lastRenderedPageBreak/>
              <w:t>There is a strong debate about the use of invasive species for human consumption due to the possible negative side</w:t>
            </w:r>
            <w:r w:rsidR="00584037">
              <w:t xml:space="preserve"> </w:t>
            </w:r>
            <w:r w:rsidRPr="004D77F8">
              <w:t>effects</w:t>
            </w:r>
            <w:r w:rsidR="00584037">
              <w:rPr>
                <w:rStyle w:val="FootnoteReference"/>
              </w:rPr>
              <w:footnoteReference w:id="21"/>
            </w:r>
            <w:r w:rsidR="00584037" w:rsidRPr="00584037">
              <w:rPr>
                <w:vertAlign w:val="superscript"/>
              </w:rPr>
              <w:t>,</w:t>
            </w:r>
            <w:r w:rsidR="00584037">
              <w:rPr>
                <w:rStyle w:val="FootnoteReference"/>
              </w:rPr>
              <w:footnoteReference w:id="22"/>
            </w:r>
            <w:r w:rsidRPr="004D77F8">
              <w:t>; however, in some case</w:t>
            </w:r>
            <w:r w:rsidR="00584037">
              <w:t>s,</w:t>
            </w:r>
            <w:r w:rsidRPr="004D77F8">
              <w:t xml:space="preserve"> it could be the only solution to </w:t>
            </w:r>
            <w:r w:rsidR="00584037">
              <w:t>reduce</w:t>
            </w:r>
            <w:r w:rsidRPr="004D77F8">
              <w:t xml:space="preserve"> population</w:t>
            </w:r>
            <w:r w:rsidR="00584037">
              <w:t>s</w:t>
            </w:r>
            <w:r w:rsidR="00A72F9C" w:rsidRPr="004D77F8">
              <w:t xml:space="preserve"> (when no other measures are successful</w:t>
            </w:r>
            <w:r w:rsidR="00584037">
              <w:t>,</w:t>
            </w:r>
            <w:r w:rsidR="00A72F9C" w:rsidRPr="004D77F8">
              <w:t xml:space="preserve"> or possible</w:t>
            </w:r>
            <w:r w:rsidR="00584037">
              <w:t>,</w:t>
            </w:r>
            <w:r w:rsidR="00A72F9C" w:rsidRPr="004D77F8">
              <w:t xml:space="preserve"> and population</w:t>
            </w:r>
            <w:r w:rsidR="00584037">
              <w:t>s</w:t>
            </w:r>
            <w:r w:rsidR="00A72F9C" w:rsidRPr="004D77F8">
              <w:t xml:space="preserve"> should be controlled)</w:t>
            </w:r>
            <w:r w:rsidRPr="004D77F8">
              <w:t>.</w:t>
            </w:r>
          </w:p>
          <w:p w14:paraId="5E6741F7" w14:textId="0DF166C5" w:rsidR="004D77F8" w:rsidRPr="004D77F8" w:rsidRDefault="004D77F8" w:rsidP="00A2483D">
            <w:pPr>
              <w:pStyle w:val="NoSpacing"/>
            </w:pPr>
          </w:p>
        </w:tc>
      </w:tr>
    </w:tbl>
    <w:p w14:paraId="4B8BB544" w14:textId="2B75B403" w:rsidR="00723CA6" w:rsidRDefault="00723CA6">
      <w:pPr>
        <w:rPr>
          <w:rFonts w:eastAsia="Times New Roman" w:cstheme="minorHAnsi"/>
          <w:sz w:val="28"/>
          <w:szCs w:val="28"/>
        </w:rPr>
      </w:pPr>
    </w:p>
    <w:p w14:paraId="5D879BA6" w14:textId="77777777" w:rsidR="00723CA6" w:rsidRDefault="00723CA6">
      <w:pPr>
        <w:rPr>
          <w:rFonts w:eastAsia="Times New Roman" w:cstheme="minorHAnsi"/>
          <w:sz w:val="28"/>
          <w:szCs w:val="28"/>
        </w:rPr>
      </w:pPr>
      <w:r>
        <w:rPr>
          <w:rFonts w:eastAsia="Times New Roman" w:cstheme="minorHAnsi"/>
          <w:sz w:val="28"/>
          <w:szCs w:val="28"/>
        </w:rPr>
        <w:br w:type="page"/>
      </w:r>
    </w:p>
    <w:tbl>
      <w:tblPr>
        <w:tblStyle w:val="TableGrid"/>
        <w:tblW w:w="0" w:type="auto"/>
        <w:tblLook w:val="04A0" w:firstRow="1" w:lastRow="0" w:firstColumn="1" w:lastColumn="0" w:noHBand="0" w:noVBand="1"/>
      </w:tblPr>
      <w:tblGrid>
        <w:gridCol w:w="13948"/>
      </w:tblGrid>
      <w:tr w:rsidR="00097CF5" w14:paraId="6593A87D" w14:textId="77777777" w:rsidTr="005944A9">
        <w:tc>
          <w:tcPr>
            <w:tcW w:w="13948" w:type="dxa"/>
            <w:shd w:val="clear" w:color="auto" w:fill="D9D9D9" w:themeFill="background1" w:themeFillShade="D9"/>
          </w:tcPr>
          <w:p w14:paraId="7A15CF21" w14:textId="25D8426C" w:rsidR="00097CF5" w:rsidRDefault="00097CF5" w:rsidP="00A131EC">
            <w:pPr>
              <w:spacing w:line="360" w:lineRule="auto"/>
              <w:rPr>
                <w:rFonts w:eastAsia="Times New Roman" w:cstheme="minorHAnsi"/>
                <w:b/>
                <w:sz w:val="24"/>
                <w:szCs w:val="24"/>
                <w:vertAlign w:val="superscript"/>
              </w:rPr>
            </w:pPr>
            <w:r w:rsidRPr="00683658">
              <w:rPr>
                <w:rFonts w:eastAsia="Times New Roman"/>
                <w:b/>
                <w:sz w:val="28"/>
              </w:rPr>
              <w:lastRenderedPageBreak/>
              <w:t>Bibliography</w:t>
            </w:r>
            <w:r w:rsidRPr="002B6463">
              <w:rPr>
                <w:rFonts w:eastAsia="Times New Roman"/>
              </w:rPr>
              <w:t xml:space="preserve"> </w:t>
            </w:r>
            <w:r w:rsidR="00094CEE">
              <w:rPr>
                <w:rFonts w:eastAsia="Times New Roman" w:cstheme="minorHAnsi"/>
                <w:b/>
                <w:sz w:val="24"/>
                <w:szCs w:val="24"/>
                <w:vertAlign w:val="superscript"/>
              </w:rPr>
              <w:t>3</w:t>
            </w:r>
          </w:p>
          <w:p w14:paraId="53224A92" w14:textId="7D895C60" w:rsidR="00683658" w:rsidRPr="00683658" w:rsidRDefault="00683658" w:rsidP="00683658">
            <w:pPr>
              <w:pStyle w:val="NoSpacing"/>
              <w:rPr>
                <w:sz w:val="20"/>
              </w:rPr>
            </w:pPr>
            <w:r>
              <w:rPr>
                <w:sz w:val="20"/>
              </w:rPr>
              <w:t>See guidance section</w:t>
            </w:r>
          </w:p>
        </w:tc>
      </w:tr>
      <w:tr w:rsidR="00097CF5" w14:paraId="7F3817E6" w14:textId="77777777" w:rsidTr="005944A9">
        <w:tc>
          <w:tcPr>
            <w:tcW w:w="13948" w:type="dxa"/>
          </w:tcPr>
          <w:p w14:paraId="0A8F41EE" w14:textId="20E60230"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Abt</w:t>
            </w:r>
            <w:proofErr w:type="spellEnd"/>
            <w:r w:rsidRPr="00C60C26">
              <w:rPr>
                <w:rFonts w:ascii="Calibri" w:eastAsia="Calibri" w:hAnsi="Calibri" w:cs="Times New Roman"/>
                <w:lang w:eastAsia="en-US"/>
              </w:rPr>
              <w:t xml:space="preserve"> Associates Inc (2008). Ecological and Economic Impacts and Invasion Management Strategies for the European Green Crab. Report for National </w:t>
            </w:r>
            <w:proofErr w:type="spellStart"/>
            <w:r w:rsidRPr="00C60C26">
              <w:rPr>
                <w:rFonts w:ascii="Calibri" w:eastAsia="Calibri" w:hAnsi="Calibri" w:cs="Times New Roman"/>
                <w:lang w:eastAsia="en-US"/>
              </w:rPr>
              <w:t>Center</w:t>
            </w:r>
            <w:proofErr w:type="spellEnd"/>
            <w:r w:rsidRPr="00C60C26">
              <w:rPr>
                <w:rFonts w:ascii="Calibri" w:eastAsia="Calibri" w:hAnsi="Calibri" w:cs="Times New Roman"/>
                <w:lang w:eastAsia="en-US"/>
              </w:rPr>
              <w:t xml:space="preserve"> of Environmental Economics U.S. Environmental Protection Agency, pp. 73.</w:t>
            </w:r>
          </w:p>
          <w:p w14:paraId="32EEA4C2" w14:textId="56B8E938" w:rsidR="00F542FB" w:rsidRPr="00C60C26" w:rsidRDefault="0091419E" w:rsidP="002F2131">
            <w:pPr>
              <w:spacing w:after="120" w:line="257" w:lineRule="auto"/>
              <w:rPr>
                <w:rFonts w:ascii="Calibri" w:eastAsia="Calibri" w:hAnsi="Calibri" w:cs="Times New Roman"/>
                <w:lang w:eastAsia="en-US"/>
              </w:rPr>
            </w:pPr>
            <w:r w:rsidRPr="00C60C26">
              <w:t xml:space="preserve">Adriaens, A., Sutton-Croft, M., Owen, K., </w:t>
            </w:r>
            <w:proofErr w:type="spellStart"/>
            <w:r w:rsidRPr="00C60C26">
              <w:t>Brosens</w:t>
            </w:r>
            <w:proofErr w:type="spellEnd"/>
            <w:r w:rsidRPr="00C60C26">
              <w:t xml:space="preserve">, D., van Valkenburg, J., </w:t>
            </w:r>
            <w:proofErr w:type="spellStart"/>
            <w:r w:rsidRPr="00C60C26">
              <w:t>Kilbey</w:t>
            </w:r>
            <w:proofErr w:type="spellEnd"/>
            <w:r w:rsidRPr="00C60C26">
              <w:t xml:space="preserve">, D., Groom, Q., </w:t>
            </w:r>
            <w:proofErr w:type="spellStart"/>
            <w:r w:rsidRPr="00C60C26">
              <w:t>Ehmig</w:t>
            </w:r>
            <w:proofErr w:type="spellEnd"/>
            <w:r w:rsidRPr="00C60C26">
              <w:t xml:space="preserve">, C., </w:t>
            </w:r>
            <w:proofErr w:type="spellStart"/>
            <w:r w:rsidRPr="00C60C26">
              <w:t>Thürkow</w:t>
            </w:r>
            <w:proofErr w:type="spellEnd"/>
            <w:r w:rsidRPr="00C60C26">
              <w:t xml:space="preserve">, F., Van </w:t>
            </w:r>
            <w:proofErr w:type="spellStart"/>
            <w:r w:rsidRPr="00C60C26">
              <w:t>Hende</w:t>
            </w:r>
            <w:proofErr w:type="spellEnd"/>
            <w:r w:rsidR="002767F8" w:rsidRPr="00C60C26">
              <w:t>, P., &amp;</w:t>
            </w:r>
            <w:r w:rsidRPr="00C60C26">
              <w:t xml:space="preserve"> Schneider</w:t>
            </w:r>
            <w:r w:rsidR="002767F8" w:rsidRPr="00C60C26">
              <w:t xml:space="preserve">, K. (2015). </w:t>
            </w:r>
            <w:r w:rsidR="00580831" w:rsidRPr="00C60C26">
              <w:t xml:space="preserve">Trying to engage the crowd in recording invasive alien species in Europe: experiences from two smartphone applications in northwest Europe. </w:t>
            </w:r>
            <w:r w:rsidR="00F542FB" w:rsidRPr="00C60C26">
              <w:rPr>
                <w:rFonts w:ascii="Calibri" w:eastAsia="Calibri" w:hAnsi="Calibri" w:cs="Times New Roman"/>
                <w:i/>
                <w:iCs/>
                <w:lang w:eastAsia="en-US"/>
              </w:rPr>
              <w:t>Management of Biological Invasions</w:t>
            </w:r>
            <w:r w:rsidR="00580831" w:rsidRPr="00C60C26">
              <w:rPr>
                <w:rFonts w:ascii="Calibri" w:eastAsia="Calibri" w:hAnsi="Calibri" w:cs="Times New Roman"/>
                <w:lang w:eastAsia="en-US"/>
              </w:rPr>
              <w:t xml:space="preserve">, </w:t>
            </w:r>
            <w:r w:rsidR="00F542FB" w:rsidRPr="00C60C26">
              <w:rPr>
                <w:rFonts w:ascii="Calibri" w:eastAsia="Calibri" w:hAnsi="Calibri" w:cs="Times New Roman"/>
                <w:lang w:eastAsia="en-US"/>
              </w:rPr>
              <w:t>6</w:t>
            </w:r>
            <w:r w:rsidR="00580831" w:rsidRPr="00C60C26">
              <w:rPr>
                <w:rFonts w:ascii="Calibri" w:eastAsia="Calibri" w:hAnsi="Calibri" w:cs="Times New Roman"/>
                <w:lang w:eastAsia="en-US"/>
              </w:rPr>
              <w:t>(</w:t>
            </w:r>
            <w:r w:rsidR="00F542FB" w:rsidRPr="00C60C26">
              <w:rPr>
                <w:rFonts w:ascii="Calibri" w:eastAsia="Calibri" w:hAnsi="Calibri" w:cs="Times New Roman"/>
                <w:lang w:eastAsia="en-US"/>
              </w:rPr>
              <w:t>2</w:t>
            </w:r>
            <w:r w:rsidR="00580831" w:rsidRPr="00C60C26">
              <w:rPr>
                <w:rFonts w:ascii="Calibri" w:eastAsia="Calibri" w:hAnsi="Calibri" w:cs="Times New Roman"/>
                <w:lang w:eastAsia="en-US"/>
              </w:rPr>
              <w:t>),</w:t>
            </w:r>
            <w:r w:rsidR="00F542FB" w:rsidRPr="00C60C26">
              <w:rPr>
                <w:rFonts w:ascii="Calibri" w:eastAsia="Calibri" w:hAnsi="Calibri" w:cs="Times New Roman"/>
                <w:lang w:eastAsia="en-US"/>
              </w:rPr>
              <w:t xml:space="preserve"> 215</w:t>
            </w:r>
            <w:r w:rsidR="00580831" w:rsidRPr="00C60C26">
              <w:rPr>
                <w:rFonts w:ascii="Calibri" w:eastAsia="Calibri" w:hAnsi="Calibri" w:cs="Times New Roman"/>
                <w:lang w:eastAsia="en-US"/>
              </w:rPr>
              <w:t>-</w:t>
            </w:r>
            <w:r w:rsidR="00F542FB" w:rsidRPr="00C60C26">
              <w:rPr>
                <w:rFonts w:ascii="Calibri" w:eastAsia="Calibri" w:hAnsi="Calibri" w:cs="Times New Roman"/>
                <w:lang w:eastAsia="en-US"/>
              </w:rPr>
              <w:t>225</w:t>
            </w:r>
            <w:r w:rsidR="00AD0128">
              <w:rPr>
                <w:rFonts w:ascii="Calibri" w:eastAsia="Calibri" w:hAnsi="Calibri" w:cs="Times New Roman"/>
                <w:lang w:eastAsia="en-US"/>
              </w:rPr>
              <w:t>.</w:t>
            </w:r>
          </w:p>
          <w:p w14:paraId="1ADD8667" w14:textId="1D7456D1" w:rsidR="00B211DF" w:rsidRDefault="00B211DF" w:rsidP="002F2131">
            <w:pPr>
              <w:spacing w:after="120" w:line="257" w:lineRule="auto"/>
            </w:pPr>
            <w:proofErr w:type="spellStart"/>
            <w:r w:rsidRPr="005F42D9">
              <w:t>Andaloro</w:t>
            </w:r>
            <w:proofErr w:type="spellEnd"/>
            <w:r w:rsidR="008E4DB2" w:rsidRPr="005F42D9">
              <w:t xml:space="preserve">, F., </w:t>
            </w:r>
            <w:proofErr w:type="spellStart"/>
            <w:r w:rsidR="008E4DB2" w:rsidRPr="005F42D9">
              <w:t>Castriota</w:t>
            </w:r>
            <w:proofErr w:type="spellEnd"/>
            <w:r w:rsidR="008E4DB2" w:rsidRPr="005F42D9">
              <w:t xml:space="preserve">, L., </w:t>
            </w:r>
            <w:proofErr w:type="spellStart"/>
            <w:r w:rsidR="008E4DB2" w:rsidRPr="005F42D9">
              <w:t>Falautano</w:t>
            </w:r>
            <w:proofErr w:type="spellEnd"/>
            <w:r w:rsidR="008E4DB2" w:rsidRPr="005F42D9">
              <w:t xml:space="preserve">, M., Azzurro, E., </w:t>
            </w:r>
            <w:proofErr w:type="spellStart"/>
            <w:r w:rsidR="008E4DB2" w:rsidRPr="005F42D9">
              <w:t>Deidu</w:t>
            </w:r>
            <w:proofErr w:type="spellEnd"/>
            <w:r w:rsidR="008E4DB2" w:rsidRPr="005F42D9">
              <w:t>, A</w:t>
            </w:r>
            <w:r w:rsidR="0049319D" w:rsidRPr="005F42D9">
              <w:t>., &amp;</w:t>
            </w:r>
            <w:r w:rsidR="008E4DB2" w:rsidRPr="005F42D9">
              <w:t xml:space="preserve"> Fenech-Farrugia</w:t>
            </w:r>
            <w:r w:rsidR="0049319D" w:rsidRPr="005F42D9">
              <w:t xml:space="preserve">, A. (2016). </w:t>
            </w:r>
            <w:r w:rsidR="008E4DB2" w:rsidRPr="00C60C26">
              <w:t xml:space="preserve">Public feedback on early warning initiatives undertaken for hazardous non-indigenous species: the case of </w:t>
            </w:r>
            <w:proofErr w:type="spellStart"/>
            <w:r w:rsidR="008E4DB2" w:rsidRPr="00C60C26">
              <w:rPr>
                <w:i/>
                <w:iCs/>
              </w:rPr>
              <w:t>Lagocephalus</w:t>
            </w:r>
            <w:proofErr w:type="spellEnd"/>
            <w:r w:rsidR="008E4DB2" w:rsidRPr="00C60C26">
              <w:rPr>
                <w:i/>
                <w:iCs/>
              </w:rPr>
              <w:t xml:space="preserve"> </w:t>
            </w:r>
            <w:proofErr w:type="spellStart"/>
            <w:r w:rsidR="008E4DB2" w:rsidRPr="00C60C26">
              <w:rPr>
                <w:i/>
                <w:iCs/>
              </w:rPr>
              <w:t>sceleratus</w:t>
            </w:r>
            <w:proofErr w:type="spellEnd"/>
            <w:r w:rsidR="008E4DB2" w:rsidRPr="00C60C26">
              <w:t xml:space="preserve"> from Italian and Maltese waters</w:t>
            </w:r>
            <w:r w:rsidR="0049319D" w:rsidRPr="00C60C26">
              <w:t xml:space="preserve">. </w:t>
            </w:r>
            <w:r w:rsidR="00525480" w:rsidRPr="00C60C26">
              <w:rPr>
                <w:i/>
                <w:iCs/>
              </w:rPr>
              <w:t>Management of Biological Invasions</w:t>
            </w:r>
            <w:r w:rsidR="00525480" w:rsidRPr="00C60C26">
              <w:t>, 7(4), 313</w:t>
            </w:r>
            <w:r w:rsidR="009E7C76" w:rsidRPr="00C60C26">
              <w:t>-</w:t>
            </w:r>
            <w:r w:rsidR="00525480" w:rsidRPr="00C60C26">
              <w:t>319</w:t>
            </w:r>
            <w:r w:rsidR="00AD0128">
              <w:t>.</w:t>
            </w:r>
          </w:p>
          <w:p w14:paraId="13334F51" w14:textId="465B3DCA" w:rsidR="002A05AE" w:rsidRDefault="002A05AE" w:rsidP="002A05AE">
            <w:pPr>
              <w:spacing w:after="120" w:line="257" w:lineRule="auto"/>
            </w:pPr>
            <w:r>
              <w:t xml:space="preserve">Anderson, L., </w:t>
            </w:r>
            <w:proofErr w:type="spellStart"/>
            <w:r>
              <w:t>Rosewarne</w:t>
            </w:r>
            <w:proofErr w:type="spellEnd"/>
            <w:r>
              <w:t xml:space="preserve">, P. J, </w:t>
            </w:r>
            <w:proofErr w:type="spellStart"/>
            <w:r>
              <w:t>Stebbing</w:t>
            </w:r>
            <w:proofErr w:type="spellEnd"/>
            <w:r>
              <w:t>, P. D., &amp; Dunn A. M. (2014). Evaluating the effectiveness of hot water as a decontamination method to prevent the accidental movement of aquatic invasive species. CEFAS report, pp. 20.</w:t>
            </w:r>
          </w:p>
          <w:p w14:paraId="255043BD" w14:textId="4C670B06" w:rsidR="008C4F91" w:rsidRPr="00307180" w:rsidRDefault="008C4F91" w:rsidP="002F2131">
            <w:pPr>
              <w:spacing w:after="120" w:line="257" w:lineRule="auto"/>
            </w:pPr>
            <w:r w:rsidRPr="008C4F91">
              <w:t>Arthur, T</w:t>
            </w:r>
            <w:r>
              <w:t>.</w:t>
            </w:r>
            <w:r w:rsidRPr="008C4F91">
              <w:t xml:space="preserve">, </w:t>
            </w:r>
            <w:proofErr w:type="spellStart"/>
            <w:r w:rsidRPr="008C4F91">
              <w:t>Summerson</w:t>
            </w:r>
            <w:proofErr w:type="spellEnd"/>
            <w:r w:rsidRPr="008C4F91">
              <w:t>, R</w:t>
            </w:r>
            <w:r>
              <w:t>.</w:t>
            </w:r>
            <w:r w:rsidRPr="008C4F91">
              <w:t>, &amp; Mazur, K</w:t>
            </w:r>
            <w:r>
              <w:t>.</w:t>
            </w:r>
            <w:r w:rsidRPr="008C4F91">
              <w:t xml:space="preserve"> </w:t>
            </w:r>
            <w:r>
              <w:t>(</w:t>
            </w:r>
            <w:r w:rsidRPr="008C4F91">
              <w:t>2015</w:t>
            </w:r>
            <w:r>
              <w:t>).</w:t>
            </w:r>
            <w:r w:rsidRPr="008C4F91">
              <w:t xml:space="preserve"> A comparison of the costs and effectiveness of prevention, eradication, </w:t>
            </w:r>
            <w:proofErr w:type="gramStart"/>
            <w:r w:rsidRPr="008C4F91">
              <w:t>containment</w:t>
            </w:r>
            <w:proofErr w:type="gramEnd"/>
            <w:r w:rsidRPr="008C4F91">
              <w:t xml:space="preserve"> and asset protection of invasive marine pest incursions ABARES report to client prepared for the Biosecurity Animal Division of the Department of Agriculture, Canberra, </w:t>
            </w:r>
            <w:r w:rsidRPr="00307180">
              <w:t>pp. 49.</w:t>
            </w:r>
          </w:p>
          <w:p w14:paraId="02BA9C28" w14:textId="1AE9B405" w:rsidR="001534A9" w:rsidRPr="00C60C26" w:rsidRDefault="00B211DF" w:rsidP="002F2131">
            <w:pPr>
              <w:spacing w:after="120" w:line="257" w:lineRule="auto"/>
            </w:pPr>
            <w:r w:rsidRPr="001311D6">
              <w:rPr>
                <w:lang w:val="it-IT"/>
              </w:rPr>
              <w:t>Azzurro</w:t>
            </w:r>
            <w:r w:rsidR="002E6ACC" w:rsidRPr="001311D6">
              <w:rPr>
                <w:lang w:val="it-IT"/>
              </w:rPr>
              <w:t xml:space="preserve">, E., Broglio, E., Maynou, F., &amp; Bariche, M. (2013). </w:t>
            </w:r>
            <w:r w:rsidR="002E6ACC" w:rsidRPr="00C60C26">
              <w:t xml:space="preserve">Citizen science detects the undetected: the case of </w:t>
            </w:r>
            <w:proofErr w:type="spellStart"/>
            <w:r w:rsidR="002E6ACC" w:rsidRPr="00C60C26">
              <w:rPr>
                <w:i/>
                <w:iCs/>
              </w:rPr>
              <w:t>Abudefduf</w:t>
            </w:r>
            <w:proofErr w:type="spellEnd"/>
            <w:r w:rsidR="002E6ACC" w:rsidRPr="00C60C26">
              <w:rPr>
                <w:i/>
                <w:iCs/>
              </w:rPr>
              <w:t xml:space="preserve"> saxatilis</w:t>
            </w:r>
            <w:r w:rsidR="002E6ACC" w:rsidRPr="00C60C26">
              <w:t xml:space="preserve"> from the Mediterranean Sea. </w:t>
            </w:r>
            <w:r w:rsidR="00501C5B" w:rsidRPr="00C60C26">
              <w:rPr>
                <w:i/>
                <w:iCs/>
              </w:rPr>
              <w:t>Management of Biological Invasions</w:t>
            </w:r>
            <w:r w:rsidR="002E6ACC" w:rsidRPr="00C60C26">
              <w:t xml:space="preserve">, </w:t>
            </w:r>
            <w:r w:rsidR="00501C5B" w:rsidRPr="00C60C26">
              <w:t>4</w:t>
            </w:r>
            <w:r w:rsidR="002E6ACC" w:rsidRPr="00C60C26">
              <w:t>(</w:t>
            </w:r>
            <w:r w:rsidR="00501C5B" w:rsidRPr="00C60C26">
              <w:t>2</w:t>
            </w:r>
            <w:r w:rsidR="002E6ACC" w:rsidRPr="00C60C26">
              <w:t>),</w:t>
            </w:r>
            <w:r w:rsidR="00501C5B" w:rsidRPr="00C60C26">
              <w:t xml:space="preserve"> 167</w:t>
            </w:r>
            <w:r w:rsidR="009E7C76" w:rsidRPr="00C60C26">
              <w:t>-</w:t>
            </w:r>
            <w:r w:rsidR="00501C5B" w:rsidRPr="00C60C26">
              <w:t>170</w:t>
            </w:r>
            <w:r w:rsidR="00AD0128">
              <w:t>.</w:t>
            </w:r>
          </w:p>
          <w:p w14:paraId="34E106ED" w14:textId="462336FB"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Bakalar</w:t>
            </w:r>
            <w:proofErr w:type="spellEnd"/>
            <w:r w:rsidRPr="00C60C26">
              <w:rPr>
                <w:rFonts w:ascii="Calibri" w:eastAsia="Calibri" w:hAnsi="Calibri" w:cs="Times New Roman"/>
                <w:lang w:eastAsia="en-US"/>
              </w:rPr>
              <w:t xml:space="preserve">, G. (2016). Comparisons of interdisciplinary ballast water treatment systems and operational experiences from ships. </w:t>
            </w:r>
            <w:proofErr w:type="spellStart"/>
            <w:r w:rsidRPr="00C60C26">
              <w:rPr>
                <w:rFonts w:ascii="Calibri" w:eastAsia="Calibri" w:hAnsi="Calibri" w:cs="Times New Roman"/>
                <w:i/>
                <w:lang w:eastAsia="en-US"/>
              </w:rPr>
              <w:t>SpringerPlus</w:t>
            </w:r>
            <w:proofErr w:type="spellEnd"/>
            <w:r w:rsidRPr="00C60C26">
              <w:rPr>
                <w:rFonts w:ascii="Calibri" w:eastAsia="Calibri" w:hAnsi="Calibri" w:cs="Times New Roman"/>
                <w:lang w:eastAsia="en-US"/>
              </w:rPr>
              <w:t>, 5, 240</w:t>
            </w:r>
            <w:r w:rsidR="00AD0128">
              <w:rPr>
                <w:rFonts w:ascii="Calibri" w:eastAsia="Calibri" w:hAnsi="Calibri" w:cs="Times New Roman"/>
                <w:lang w:eastAsia="en-US"/>
              </w:rPr>
              <w:t>.</w:t>
            </w:r>
          </w:p>
          <w:p w14:paraId="37D3862B" w14:textId="1664E17F"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Blackman, R. C., </w:t>
            </w:r>
            <w:proofErr w:type="spellStart"/>
            <w:r w:rsidRPr="00C60C26">
              <w:rPr>
                <w:rFonts w:ascii="Calibri" w:eastAsia="Calibri" w:hAnsi="Calibri" w:cs="Times New Roman"/>
                <w:lang w:eastAsia="en-US"/>
              </w:rPr>
              <w:t>Benucci</w:t>
            </w:r>
            <w:proofErr w:type="spellEnd"/>
            <w:r w:rsidRPr="00C60C26">
              <w:rPr>
                <w:rFonts w:ascii="Calibri" w:eastAsia="Calibri" w:hAnsi="Calibri" w:cs="Times New Roman"/>
                <w:lang w:eastAsia="en-US"/>
              </w:rPr>
              <w:t xml:space="preserve">, M., Donnelly, R., </w:t>
            </w:r>
            <w:proofErr w:type="spellStart"/>
            <w:r w:rsidRPr="00C60C26">
              <w:rPr>
                <w:rFonts w:ascii="Calibri" w:eastAsia="Calibri" w:hAnsi="Calibri" w:cs="Times New Roman"/>
                <w:lang w:eastAsia="en-US"/>
              </w:rPr>
              <w:t>Hänfling</w:t>
            </w:r>
            <w:proofErr w:type="spellEnd"/>
            <w:r w:rsidRPr="00C60C26">
              <w:rPr>
                <w:rFonts w:ascii="Calibri" w:eastAsia="Calibri" w:hAnsi="Calibri" w:cs="Times New Roman"/>
                <w:lang w:eastAsia="en-US"/>
              </w:rPr>
              <w:t>, B., Harper, L.</w:t>
            </w:r>
            <w:r w:rsidR="00AD0128">
              <w:rPr>
                <w:rFonts w:ascii="Calibri" w:eastAsia="Calibri" w:hAnsi="Calibri" w:cs="Times New Roman"/>
                <w:lang w:eastAsia="en-US"/>
              </w:rPr>
              <w:t xml:space="preserve"> </w:t>
            </w:r>
            <w:r w:rsidRPr="00C60C26">
              <w:rPr>
                <w:rFonts w:ascii="Calibri" w:eastAsia="Calibri" w:hAnsi="Calibri" w:cs="Times New Roman"/>
                <w:lang w:eastAsia="en-US"/>
              </w:rPr>
              <w:t>R., Kimbell, H., Sellers, G. S., Sheard, A. M., Watson, H. V., &amp; Lawson-Handley, L. (2018)</w:t>
            </w:r>
            <w:r w:rsidR="00817E5E" w:rsidRPr="00C60C26">
              <w:rPr>
                <w:rFonts w:ascii="Calibri" w:eastAsia="Calibri" w:hAnsi="Calibri" w:cs="Times New Roman"/>
                <w:lang w:eastAsia="en-US"/>
              </w:rPr>
              <w:t>.</w:t>
            </w:r>
            <w:r w:rsidRPr="00C60C26">
              <w:rPr>
                <w:rFonts w:ascii="Calibri" w:eastAsia="Calibri" w:hAnsi="Calibri" w:cs="Times New Roman"/>
                <w:lang w:eastAsia="en-US"/>
              </w:rPr>
              <w:t xml:space="preserve"> Targeting the invaders – targeted detection of four priority freshwater invasive non-native species using environmental DNA. </w:t>
            </w:r>
            <w:proofErr w:type="spellStart"/>
            <w:r w:rsidRPr="00C60C26">
              <w:rPr>
                <w:rFonts w:ascii="Calibri" w:eastAsia="Calibri" w:hAnsi="Calibri" w:cs="Times New Roman"/>
                <w:i/>
                <w:lang w:eastAsia="en-US"/>
              </w:rPr>
              <w:t>PeerJ</w:t>
            </w:r>
            <w:proofErr w:type="spellEnd"/>
            <w:r w:rsidRPr="00C60C26">
              <w:rPr>
                <w:rFonts w:ascii="Calibri" w:eastAsia="Calibri" w:hAnsi="Calibri" w:cs="Times New Roman"/>
                <w:i/>
                <w:lang w:eastAsia="en-US"/>
              </w:rPr>
              <w:t xml:space="preserve"> Preprints</w:t>
            </w:r>
            <w:r w:rsidRPr="00C60C26">
              <w:rPr>
                <w:rFonts w:ascii="Calibri" w:eastAsia="Calibri" w:hAnsi="Calibri" w:cs="Times New Roman"/>
                <w:lang w:eastAsia="en-US"/>
              </w:rPr>
              <w:t>, doi.org/1</w:t>
            </w:r>
            <w:r w:rsidR="00AD0128">
              <w:rPr>
                <w:rFonts w:ascii="Calibri" w:eastAsia="Calibri" w:hAnsi="Calibri" w:cs="Times New Roman"/>
                <w:lang w:eastAsia="en-US"/>
              </w:rPr>
              <w:t>0.7287/peerj.preprints.27284v1.</w:t>
            </w:r>
          </w:p>
          <w:p w14:paraId="48CEF1D1" w14:textId="3A7B2B44" w:rsidR="00C4569F"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Bouma, S., &amp; Soes, D. M. (2010). A risk analysis of the Chinese mitten crab in The Netherlands. </w:t>
            </w:r>
            <w:r w:rsidR="00AD0128">
              <w:rPr>
                <w:rFonts w:ascii="Calibri" w:eastAsia="Calibri" w:hAnsi="Calibri" w:cs="Times New Roman"/>
                <w:lang w:eastAsia="en-US"/>
              </w:rPr>
              <w:t xml:space="preserve">Bureau Waardenburg </w:t>
            </w:r>
            <w:proofErr w:type="spellStart"/>
            <w:r w:rsidR="00AD0128">
              <w:rPr>
                <w:rFonts w:ascii="Calibri" w:eastAsia="Calibri" w:hAnsi="Calibri" w:cs="Times New Roman"/>
                <w:lang w:eastAsia="en-US"/>
              </w:rPr>
              <w:t>bv</w:t>
            </w:r>
            <w:proofErr w:type="spellEnd"/>
            <w:r w:rsidR="00AD0128">
              <w:rPr>
                <w:rFonts w:ascii="Calibri" w:eastAsia="Calibri" w:hAnsi="Calibri" w:cs="Times New Roman"/>
                <w:lang w:eastAsia="en-US"/>
              </w:rPr>
              <w:t xml:space="preserve">, </w:t>
            </w:r>
            <w:r w:rsidR="00AD0128" w:rsidRPr="00AD0128">
              <w:rPr>
                <w:rFonts w:ascii="Calibri" w:eastAsia="Calibri" w:hAnsi="Calibri" w:cs="Times New Roman"/>
                <w:lang w:eastAsia="en-US"/>
              </w:rPr>
              <w:t>Consultants for environment &amp; ecology</w:t>
            </w:r>
            <w:r w:rsidR="00AD0128">
              <w:rPr>
                <w:rFonts w:ascii="Calibri" w:eastAsia="Calibri" w:hAnsi="Calibri" w:cs="Times New Roman"/>
                <w:lang w:eastAsia="en-US"/>
              </w:rPr>
              <w:t>. Commissioned by</w:t>
            </w:r>
            <w:r w:rsidR="00AD0128" w:rsidRPr="00AD0128">
              <w:rPr>
                <w:rFonts w:ascii="Calibri" w:eastAsia="Calibri" w:hAnsi="Calibri" w:cs="Times New Roman"/>
                <w:lang w:eastAsia="en-US"/>
              </w:rPr>
              <w:t xml:space="preserve"> Ministry of Agriculture, Nature and Food Quali</w:t>
            </w:r>
            <w:r w:rsidR="00AD0128">
              <w:rPr>
                <w:rFonts w:ascii="Calibri" w:eastAsia="Calibri" w:hAnsi="Calibri" w:cs="Times New Roman"/>
                <w:lang w:eastAsia="en-US"/>
              </w:rPr>
              <w:t xml:space="preserve">ty, Team Invasive Alien Species, </w:t>
            </w:r>
            <w:r w:rsidR="00AD0128" w:rsidRPr="00AD0128">
              <w:rPr>
                <w:rFonts w:ascii="Calibri" w:eastAsia="Calibri" w:hAnsi="Calibri" w:cs="Times New Roman"/>
                <w:lang w:eastAsia="en-US"/>
              </w:rPr>
              <w:t>Report nr. 10-025</w:t>
            </w:r>
            <w:r w:rsidR="00AD0128">
              <w:rPr>
                <w:rFonts w:ascii="Calibri" w:eastAsia="Calibri" w:hAnsi="Calibri" w:cs="Times New Roman"/>
                <w:lang w:eastAsia="en-US"/>
              </w:rPr>
              <w:t>,</w:t>
            </w:r>
            <w:r w:rsidR="00AD0128" w:rsidRPr="00AD0128">
              <w:rPr>
                <w:rFonts w:ascii="Calibri" w:eastAsia="Calibri" w:hAnsi="Calibri" w:cs="Times New Roman"/>
                <w:lang w:eastAsia="en-US"/>
              </w:rPr>
              <w:t xml:space="preserve"> </w:t>
            </w:r>
            <w:r w:rsidR="00AD0128">
              <w:rPr>
                <w:rFonts w:ascii="Calibri" w:eastAsia="Calibri" w:hAnsi="Calibri" w:cs="Times New Roman"/>
                <w:lang w:eastAsia="en-US"/>
              </w:rPr>
              <w:t>p</w:t>
            </w:r>
            <w:r w:rsidRPr="00C60C26">
              <w:rPr>
                <w:rFonts w:ascii="Calibri" w:eastAsia="Calibri" w:hAnsi="Calibri" w:cs="Times New Roman"/>
                <w:lang w:eastAsia="en-US"/>
              </w:rPr>
              <w:t>p. 74</w:t>
            </w:r>
            <w:r w:rsidR="00AD0128">
              <w:rPr>
                <w:rFonts w:ascii="Calibri" w:eastAsia="Calibri" w:hAnsi="Calibri" w:cs="Times New Roman"/>
                <w:lang w:eastAsia="en-US"/>
              </w:rPr>
              <w:t>.</w:t>
            </w:r>
          </w:p>
          <w:p w14:paraId="2237A4D3" w14:textId="121879E4" w:rsidR="00515EE8" w:rsidRDefault="00515EE8" w:rsidP="002F2131">
            <w:pPr>
              <w:spacing w:after="120" w:line="257" w:lineRule="auto"/>
              <w:rPr>
                <w:rFonts w:ascii="Calibri" w:eastAsia="Calibri" w:hAnsi="Calibri" w:cs="Times New Roman"/>
                <w:lang w:eastAsia="en-US"/>
              </w:rPr>
            </w:pPr>
            <w:proofErr w:type="spellStart"/>
            <w:r w:rsidRPr="00515EE8">
              <w:rPr>
                <w:rFonts w:ascii="Calibri" w:eastAsia="Calibri" w:hAnsi="Calibri" w:cs="Times New Roman"/>
                <w:lang w:eastAsia="en-US"/>
              </w:rPr>
              <w:t>Bouyssou</w:t>
            </w:r>
            <w:proofErr w:type="spellEnd"/>
            <w:r>
              <w:rPr>
                <w:rFonts w:ascii="Calibri" w:eastAsia="Calibri" w:hAnsi="Calibri" w:cs="Times New Roman"/>
                <w:lang w:eastAsia="en-US"/>
              </w:rPr>
              <w:t>,</w:t>
            </w:r>
            <w:r w:rsidRPr="00515EE8">
              <w:rPr>
                <w:rFonts w:ascii="Calibri" w:eastAsia="Calibri" w:hAnsi="Calibri" w:cs="Times New Roman"/>
                <w:lang w:eastAsia="en-US"/>
              </w:rPr>
              <w:t xml:space="preserve"> A</w:t>
            </w:r>
            <w:r>
              <w:rPr>
                <w:rFonts w:ascii="Calibri" w:eastAsia="Calibri" w:hAnsi="Calibri" w:cs="Times New Roman"/>
                <w:lang w:eastAsia="en-US"/>
              </w:rPr>
              <w:t>., &amp;</w:t>
            </w:r>
            <w:r w:rsidRPr="00515EE8">
              <w:rPr>
                <w:rFonts w:ascii="Calibri" w:eastAsia="Calibri" w:hAnsi="Calibri" w:cs="Times New Roman"/>
                <w:lang w:eastAsia="en-US"/>
              </w:rPr>
              <w:t xml:space="preserve"> </w:t>
            </w:r>
            <w:proofErr w:type="spellStart"/>
            <w:r w:rsidRPr="00515EE8">
              <w:rPr>
                <w:rFonts w:ascii="Calibri" w:eastAsia="Calibri" w:hAnsi="Calibri" w:cs="Times New Roman"/>
                <w:lang w:eastAsia="en-US"/>
              </w:rPr>
              <w:t>Madjidian</w:t>
            </w:r>
            <w:proofErr w:type="spellEnd"/>
            <w:r w:rsidRPr="00515EE8">
              <w:rPr>
                <w:rFonts w:ascii="Calibri" w:eastAsia="Calibri" w:hAnsi="Calibri" w:cs="Times New Roman"/>
                <w:lang w:eastAsia="en-US"/>
              </w:rPr>
              <w:t>, J.</w:t>
            </w:r>
            <w:r>
              <w:rPr>
                <w:rFonts w:ascii="Calibri" w:eastAsia="Calibri" w:hAnsi="Calibri" w:cs="Times New Roman"/>
                <w:lang w:eastAsia="en-US"/>
              </w:rPr>
              <w:t xml:space="preserve"> </w:t>
            </w:r>
            <w:r w:rsidRPr="00515EE8">
              <w:rPr>
                <w:rFonts w:ascii="Calibri" w:eastAsia="Calibri" w:hAnsi="Calibri" w:cs="Times New Roman"/>
                <w:lang w:eastAsia="en-US"/>
              </w:rPr>
              <w:t xml:space="preserve">A. </w:t>
            </w:r>
            <w:r>
              <w:rPr>
                <w:rFonts w:ascii="Calibri" w:eastAsia="Calibri" w:hAnsi="Calibri" w:cs="Times New Roman"/>
                <w:lang w:eastAsia="en-US"/>
              </w:rPr>
              <w:t>(</w:t>
            </w:r>
            <w:r w:rsidRPr="00515EE8">
              <w:rPr>
                <w:rFonts w:ascii="Calibri" w:eastAsia="Calibri" w:hAnsi="Calibri" w:cs="Times New Roman"/>
                <w:lang w:eastAsia="en-US"/>
              </w:rPr>
              <w:t>2014</w:t>
            </w:r>
            <w:r>
              <w:rPr>
                <w:rFonts w:ascii="Calibri" w:eastAsia="Calibri" w:hAnsi="Calibri" w:cs="Times New Roman"/>
                <w:lang w:eastAsia="en-US"/>
              </w:rPr>
              <w:t>)</w:t>
            </w:r>
            <w:r w:rsidRPr="00515EE8">
              <w:rPr>
                <w:rFonts w:ascii="Calibri" w:eastAsia="Calibri" w:hAnsi="Calibri" w:cs="Times New Roman"/>
                <w:lang w:eastAsia="en-US"/>
              </w:rPr>
              <w:t>. Biofouling: a means of aquatic species transfer. Final report. Prepared for Interreg IVB North Sea Ballast Water Opportunity project</w:t>
            </w:r>
            <w:r>
              <w:rPr>
                <w:rFonts w:ascii="Calibri" w:eastAsia="Calibri" w:hAnsi="Calibri" w:cs="Times New Roman"/>
                <w:lang w:eastAsia="en-US"/>
              </w:rPr>
              <w:t>, pp. 18.</w:t>
            </w:r>
          </w:p>
          <w:p w14:paraId="5008D3E7" w14:textId="0C2ED632" w:rsidR="00E674D6" w:rsidRPr="00C60C26" w:rsidRDefault="00E674D6" w:rsidP="002F2131">
            <w:pPr>
              <w:spacing w:after="120" w:line="257" w:lineRule="auto"/>
              <w:rPr>
                <w:rFonts w:ascii="Calibri" w:eastAsia="Calibri" w:hAnsi="Calibri" w:cs="Times New Roman"/>
                <w:lang w:eastAsia="en-US"/>
              </w:rPr>
            </w:pPr>
            <w:r w:rsidRPr="00E674D6">
              <w:rPr>
                <w:rFonts w:ascii="Calibri" w:eastAsia="Calibri" w:hAnsi="Calibri" w:cs="Times New Roman"/>
                <w:lang w:eastAsia="en-US"/>
              </w:rPr>
              <w:lastRenderedPageBreak/>
              <w:t>Branson, J. (2012). Cost-</w:t>
            </w:r>
            <w:r>
              <w:rPr>
                <w:rFonts w:ascii="Calibri" w:eastAsia="Calibri" w:hAnsi="Calibri" w:cs="Times New Roman"/>
                <w:lang w:eastAsia="en-US"/>
              </w:rPr>
              <w:t>b</w:t>
            </w:r>
            <w:r w:rsidRPr="00E674D6">
              <w:rPr>
                <w:rFonts w:ascii="Calibri" w:eastAsia="Calibri" w:hAnsi="Calibri" w:cs="Times New Roman"/>
                <w:lang w:eastAsia="en-US"/>
              </w:rPr>
              <w:t xml:space="preserve">enefit </w:t>
            </w:r>
            <w:r>
              <w:rPr>
                <w:rFonts w:ascii="Calibri" w:eastAsia="Calibri" w:hAnsi="Calibri" w:cs="Times New Roman"/>
                <w:lang w:eastAsia="en-US"/>
              </w:rPr>
              <w:t>a</w:t>
            </w:r>
            <w:r w:rsidRPr="00E674D6">
              <w:rPr>
                <w:rFonts w:ascii="Calibri" w:eastAsia="Calibri" w:hAnsi="Calibri" w:cs="Times New Roman"/>
                <w:lang w:eastAsia="en-US"/>
              </w:rPr>
              <w:t xml:space="preserve">nalysis of </w:t>
            </w:r>
            <w:r>
              <w:rPr>
                <w:rFonts w:ascii="Calibri" w:eastAsia="Calibri" w:hAnsi="Calibri" w:cs="Times New Roman"/>
                <w:lang w:eastAsia="en-US"/>
              </w:rPr>
              <w:t>p</w:t>
            </w:r>
            <w:r w:rsidRPr="00E674D6">
              <w:rPr>
                <w:rFonts w:ascii="Calibri" w:eastAsia="Calibri" w:hAnsi="Calibri" w:cs="Times New Roman"/>
                <w:lang w:eastAsia="en-US"/>
              </w:rPr>
              <w:t xml:space="preserve">roposed </w:t>
            </w:r>
            <w:r>
              <w:rPr>
                <w:rFonts w:ascii="Calibri" w:eastAsia="Calibri" w:hAnsi="Calibri" w:cs="Times New Roman"/>
                <w:lang w:eastAsia="en-US"/>
              </w:rPr>
              <w:t>i</w:t>
            </w:r>
            <w:r w:rsidRPr="00E674D6">
              <w:rPr>
                <w:rFonts w:ascii="Calibri" w:eastAsia="Calibri" w:hAnsi="Calibri" w:cs="Times New Roman"/>
                <w:lang w:eastAsia="en-US"/>
              </w:rPr>
              <w:t xml:space="preserve">mport </w:t>
            </w:r>
            <w:r>
              <w:rPr>
                <w:rFonts w:ascii="Calibri" w:eastAsia="Calibri" w:hAnsi="Calibri" w:cs="Times New Roman"/>
                <w:lang w:eastAsia="en-US"/>
              </w:rPr>
              <w:t>h</w:t>
            </w:r>
            <w:r w:rsidRPr="00E674D6">
              <w:rPr>
                <w:rFonts w:ascii="Calibri" w:eastAsia="Calibri" w:hAnsi="Calibri" w:cs="Times New Roman"/>
                <w:lang w:eastAsia="en-US"/>
              </w:rPr>
              <w:t xml:space="preserve">ealth </w:t>
            </w:r>
            <w:r>
              <w:rPr>
                <w:rFonts w:ascii="Calibri" w:eastAsia="Calibri" w:hAnsi="Calibri" w:cs="Times New Roman"/>
                <w:lang w:eastAsia="en-US"/>
              </w:rPr>
              <w:t>s</w:t>
            </w:r>
            <w:r w:rsidRPr="00E674D6">
              <w:rPr>
                <w:rFonts w:ascii="Calibri" w:eastAsia="Calibri" w:hAnsi="Calibri" w:cs="Times New Roman"/>
                <w:lang w:eastAsia="en-US"/>
              </w:rPr>
              <w:t xml:space="preserve">tandard for </w:t>
            </w:r>
            <w:r>
              <w:rPr>
                <w:rFonts w:ascii="Calibri" w:eastAsia="Calibri" w:hAnsi="Calibri" w:cs="Times New Roman"/>
                <w:lang w:eastAsia="en-US"/>
              </w:rPr>
              <w:t>v</w:t>
            </w:r>
            <w:r w:rsidRPr="00E674D6">
              <w:rPr>
                <w:rFonts w:ascii="Calibri" w:eastAsia="Calibri" w:hAnsi="Calibri" w:cs="Times New Roman"/>
                <w:lang w:eastAsia="en-US"/>
              </w:rPr>
              <w:t xml:space="preserve">essel </w:t>
            </w:r>
            <w:r>
              <w:rPr>
                <w:rFonts w:ascii="Calibri" w:eastAsia="Calibri" w:hAnsi="Calibri" w:cs="Times New Roman"/>
                <w:lang w:eastAsia="en-US"/>
              </w:rPr>
              <w:t>b</w:t>
            </w:r>
            <w:r w:rsidRPr="00E674D6">
              <w:rPr>
                <w:rFonts w:ascii="Calibri" w:eastAsia="Calibri" w:hAnsi="Calibri" w:cs="Times New Roman"/>
                <w:lang w:eastAsia="en-US"/>
              </w:rPr>
              <w:t xml:space="preserve">iofouling. Report </w:t>
            </w:r>
            <w:r>
              <w:rPr>
                <w:rFonts w:ascii="Calibri" w:eastAsia="Calibri" w:hAnsi="Calibri" w:cs="Times New Roman"/>
                <w:lang w:eastAsia="en-US"/>
              </w:rPr>
              <w:t>p</w:t>
            </w:r>
            <w:r w:rsidRPr="00E674D6">
              <w:rPr>
                <w:rFonts w:ascii="Calibri" w:eastAsia="Calibri" w:hAnsi="Calibri" w:cs="Times New Roman"/>
                <w:lang w:eastAsia="en-US"/>
              </w:rPr>
              <w:t>repared for Ministry for Primary Industries. MPI technical paper 2018/68. Available at: https://www.mpi.govt.nz/dmsdocument/31686-cost-benefit-analysis-of-proposed-import-health-standard-for-vessel-biofouling (accessed September 2019).</w:t>
            </w:r>
          </w:p>
          <w:p w14:paraId="461FC2BB" w14:textId="1EF49030"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Chinese Mitten Crab Working Group (2003). National management plan for the genus </w:t>
            </w:r>
            <w:proofErr w:type="spellStart"/>
            <w:r w:rsidRPr="00C60C26">
              <w:rPr>
                <w:rFonts w:ascii="Calibri" w:eastAsia="Calibri" w:hAnsi="Calibri" w:cs="Times New Roman"/>
                <w:i/>
                <w:lang w:eastAsia="en-US"/>
              </w:rPr>
              <w:t>Eriocheir</w:t>
            </w:r>
            <w:proofErr w:type="spellEnd"/>
            <w:r w:rsidR="000B316C">
              <w:rPr>
                <w:rFonts w:ascii="Calibri" w:eastAsia="Calibri" w:hAnsi="Calibri" w:cs="Times New Roman"/>
                <w:lang w:eastAsia="en-US"/>
              </w:rPr>
              <w:t xml:space="preserve"> (Mitten Crabs). </w:t>
            </w:r>
            <w:r w:rsidR="000B316C" w:rsidRPr="000B316C">
              <w:rPr>
                <w:rFonts w:ascii="Calibri" w:eastAsia="Calibri" w:hAnsi="Calibri" w:cs="Times New Roman"/>
                <w:lang w:eastAsia="en-US"/>
              </w:rPr>
              <w:t>Submitted to the Aquatic Nuisance Species Task Force</w:t>
            </w:r>
            <w:r w:rsidR="000B316C">
              <w:rPr>
                <w:rFonts w:ascii="Calibri" w:eastAsia="Calibri" w:hAnsi="Calibri" w:cs="Times New Roman"/>
                <w:lang w:eastAsia="en-US"/>
              </w:rPr>
              <w:t xml:space="preserve">, </w:t>
            </w:r>
            <w:r w:rsidRPr="00C60C26">
              <w:rPr>
                <w:rFonts w:ascii="Calibri" w:eastAsia="Calibri" w:hAnsi="Calibri" w:cs="Times New Roman"/>
                <w:lang w:eastAsia="en-US"/>
              </w:rPr>
              <w:t>pp. 118.</w:t>
            </w:r>
          </w:p>
          <w:p w14:paraId="4B7E57AD" w14:textId="36AFE158"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Cohen, A. N., &amp; Weinstein, A. (2001). The potential distribution of Chinese mitten crabs (</w:t>
            </w:r>
            <w:proofErr w:type="spellStart"/>
            <w:r w:rsidRPr="00C60C26">
              <w:rPr>
                <w:rFonts w:ascii="Calibri" w:eastAsia="Calibri" w:hAnsi="Calibri" w:cs="Times New Roman"/>
                <w:i/>
                <w:lang w:eastAsia="en-US"/>
              </w:rPr>
              <w:t>Eriocheir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in selected waters of the Western United States wit</w:t>
            </w:r>
            <w:r w:rsidR="00447DC6">
              <w:rPr>
                <w:rFonts w:ascii="Calibri" w:eastAsia="Calibri" w:hAnsi="Calibri" w:cs="Times New Roman"/>
                <w:lang w:eastAsia="en-US"/>
              </w:rPr>
              <w:t xml:space="preserve">h U.S. </w:t>
            </w:r>
            <w:r w:rsidRPr="00C60C26">
              <w:rPr>
                <w:rFonts w:ascii="Calibri" w:eastAsia="Calibri" w:hAnsi="Calibri" w:cs="Times New Roman"/>
                <w:lang w:eastAsia="en-US"/>
              </w:rPr>
              <w:t>Bureau of Reclamation Facilities. Tracy Fish Collection Facilities Studies</w:t>
            </w:r>
            <w:r w:rsidR="00447DC6">
              <w:rPr>
                <w:rFonts w:ascii="Calibri" w:eastAsia="Calibri" w:hAnsi="Calibri" w:cs="Times New Roman"/>
                <w:lang w:eastAsia="en-US"/>
              </w:rPr>
              <w:t>,</w:t>
            </w:r>
            <w:r w:rsidRPr="00C60C26">
              <w:rPr>
                <w:rFonts w:ascii="Calibri" w:eastAsia="Calibri" w:hAnsi="Calibri" w:cs="Times New Roman"/>
                <w:lang w:eastAsia="en-US"/>
              </w:rPr>
              <w:t xml:space="preserve"> 21, pp. 65.</w:t>
            </w:r>
          </w:p>
          <w:p w14:paraId="2D56A266" w14:textId="3EB64190" w:rsidR="00C4569F" w:rsidRDefault="00976A39"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David, M</w:t>
            </w:r>
            <w:r w:rsidR="00C4569F" w:rsidRPr="00C60C26">
              <w:rPr>
                <w:rFonts w:ascii="Calibri" w:eastAsia="Calibri" w:hAnsi="Calibri" w:cs="Times New Roman"/>
                <w:lang w:eastAsia="en-US"/>
              </w:rPr>
              <w:t xml:space="preserve">., &amp; </w:t>
            </w:r>
            <w:proofErr w:type="spellStart"/>
            <w:r w:rsidR="00C4569F" w:rsidRPr="00C60C26">
              <w:rPr>
                <w:rFonts w:ascii="Calibri" w:eastAsia="Calibri" w:hAnsi="Calibri" w:cs="Times New Roman"/>
                <w:lang w:eastAsia="en-US"/>
              </w:rPr>
              <w:t>Gollasch</w:t>
            </w:r>
            <w:proofErr w:type="spellEnd"/>
            <w:r w:rsidR="00C4569F" w:rsidRPr="00C60C26">
              <w:rPr>
                <w:rFonts w:ascii="Calibri" w:eastAsia="Calibri" w:hAnsi="Calibri" w:cs="Times New Roman"/>
                <w:lang w:eastAsia="en-US"/>
              </w:rPr>
              <w:t xml:space="preserve">, S. (2008). EU shipping in the dawn of managing the ballast water issue. </w:t>
            </w:r>
            <w:r w:rsidR="00C4569F" w:rsidRPr="00C60C26">
              <w:rPr>
                <w:rFonts w:ascii="Calibri" w:eastAsia="Calibri" w:hAnsi="Calibri" w:cs="Times New Roman"/>
                <w:i/>
                <w:lang w:eastAsia="en-US"/>
              </w:rPr>
              <w:t>Marine Pollution Bulletin</w:t>
            </w:r>
            <w:r w:rsidR="00C4569F" w:rsidRPr="00C60C26">
              <w:rPr>
                <w:rFonts w:ascii="Calibri" w:eastAsia="Calibri" w:hAnsi="Calibri" w:cs="Times New Roman"/>
                <w:lang w:eastAsia="en-US"/>
              </w:rPr>
              <w:t>, 56, 1966-1972</w:t>
            </w:r>
            <w:r w:rsidR="00447DC6">
              <w:rPr>
                <w:rFonts w:ascii="Calibri" w:eastAsia="Calibri" w:hAnsi="Calibri" w:cs="Times New Roman"/>
                <w:lang w:eastAsia="en-US"/>
              </w:rPr>
              <w:t>.</w:t>
            </w:r>
          </w:p>
          <w:p w14:paraId="70FE00A9" w14:textId="2507AAB7" w:rsidR="00E674D6" w:rsidRDefault="00E674D6" w:rsidP="002F2131">
            <w:pPr>
              <w:spacing w:after="120" w:line="257" w:lineRule="auto"/>
              <w:rPr>
                <w:rFonts w:ascii="Calibri" w:eastAsia="Calibri" w:hAnsi="Calibri" w:cs="Times New Roman"/>
                <w:lang w:eastAsia="en-US"/>
              </w:rPr>
            </w:pPr>
            <w:r w:rsidRPr="00E674D6">
              <w:rPr>
                <w:rFonts w:ascii="Calibri" w:eastAsia="Calibri" w:hAnsi="Calibri" w:cs="Times New Roman"/>
                <w:lang w:eastAsia="en-US"/>
              </w:rPr>
              <w:t>de Castro</w:t>
            </w:r>
            <w:r>
              <w:rPr>
                <w:rFonts w:ascii="Calibri" w:eastAsia="Calibri" w:hAnsi="Calibri" w:cs="Times New Roman"/>
                <w:lang w:eastAsia="en-US"/>
              </w:rPr>
              <w:t>,</w:t>
            </w:r>
            <w:r w:rsidRPr="00E674D6">
              <w:rPr>
                <w:rFonts w:ascii="Calibri" w:eastAsia="Calibri" w:hAnsi="Calibri" w:cs="Times New Roman"/>
                <w:lang w:eastAsia="en-US"/>
              </w:rPr>
              <w:t xml:space="preserve"> M</w:t>
            </w:r>
            <w:r>
              <w:rPr>
                <w:rFonts w:ascii="Calibri" w:eastAsia="Calibri" w:hAnsi="Calibri" w:cs="Times New Roman"/>
                <w:lang w:eastAsia="en-US"/>
              </w:rPr>
              <w:t xml:space="preserve">. </w:t>
            </w:r>
            <w:r w:rsidRPr="00E674D6">
              <w:rPr>
                <w:rFonts w:ascii="Calibri" w:eastAsia="Calibri" w:hAnsi="Calibri" w:cs="Times New Roman"/>
                <w:lang w:eastAsia="en-US"/>
              </w:rPr>
              <w:t>C</w:t>
            </w:r>
            <w:r>
              <w:rPr>
                <w:rFonts w:ascii="Calibri" w:eastAsia="Calibri" w:hAnsi="Calibri" w:cs="Times New Roman"/>
                <w:lang w:eastAsia="en-US"/>
              </w:rPr>
              <w:t xml:space="preserve">. </w:t>
            </w:r>
            <w:r w:rsidRPr="00E674D6">
              <w:rPr>
                <w:rFonts w:ascii="Calibri" w:eastAsia="Calibri" w:hAnsi="Calibri" w:cs="Times New Roman"/>
                <w:lang w:eastAsia="en-US"/>
              </w:rPr>
              <w:t>T</w:t>
            </w:r>
            <w:r>
              <w:rPr>
                <w:rFonts w:ascii="Calibri" w:eastAsia="Calibri" w:hAnsi="Calibri" w:cs="Times New Roman"/>
                <w:lang w:eastAsia="en-US"/>
              </w:rPr>
              <w:t>.</w:t>
            </w:r>
            <w:r w:rsidRPr="00E674D6">
              <w:rPr>
                <w:rFonts w:ascii="Calibri" w:eastAsia="Calibri" w:hAnsi="Calibri" w:cs="Times New Roman"/>
                <w:lang w:eastAsia="en-US"/>
              </w:rPr>
              <w:t>, Vance</w:t>
            </w:r>
            <w:r>
              <w:rPr>
                <w:rFonts w:ascii="Calibri" w:eastAsia="Calibri" w:hAnsi="Calibri" w:cs="Times New Roman"/>
                <w:lang w:eastAsia="en-US"/>
              </w:rPr>
              <w:t>,</w:t>
            </w:r>
            <w:r w:rsidRPr="00E674D6">
              <w:rPr>
                <w:rFonts w:ascii="Calibri" w:eastAsia="Calibri" w:hAnsi="Calibri" w:cs="Times New Roman"/>
                <w:lang w:eastAsia="en-US"/>
              </w:rPr>
              <w:t xml:space="preserve"> T</w:t>
            </w:r>
            <w:r>
              <w:rPr>
                <w:rFonts w:ascii="Calibri" w:eastAsia="Calibri" w:hAnsi="Calibri" w:cs="Times New Roman"/>
                <w:lang w:eastAsia="en-US"/>
              </w:rPr>
              <w:t>.</w:t>
            </w:r>
            <w:r w:rsidRPr="00E674D6">
              <w:rPr>
                <w:rFonts w:ascii="Calibri" w:eastAsia="Calibri" w:hAnsi="Calibri" w:cs="Times New Roman"/>
                <w:lang w:eastAsia="en-US"/>
              </w:rPr>
              <w:t xml:space="preserve">, </w:t>
            </w:r>
            <w:proofErr w:type="spellStart"/>
            <w:r w:rsidRPr="00E674D6">
              <w:rPr>
                <w:rFonts w:ascii="Calibri" w:eastAsia="Calibri" w:hAnsi="Calibri" w:cs="Times New Roman"/>
                <w:lang w:eastAsia="en-US"/>
              </w:rPr>
              <w:t>Yunnie</w:t>
            </w:r>
            <w:proofErr w:type="spellEnd"/>
            <w:r>
              <w:rPr>
                <w:rFonts w:ascii="Calibri" w:eastAsia="Calibri" w:hAnsi="Calibri" w:cs="Times New Roman"/>
                <w:lang w:eastAsia="en-US"/>
              </w:rPr>
              <w:t>,</w:t>
            </w:r>
            <w:r w:rsidRPr="00E674D6">
              <w:rPr>
                <w:rFonts w:ascii="Calibri" w:eastAsia="Calibri" w:hAnsi="Calibri" w:cs="Times New Roman"/>
                <w:lang w:eastAsia="en-US"/>
              </w:rPr>
              <w:t xml:space="preserve"> A</w:t>
            </w:r>
            <w:r>
              <w:rPr>
                <w:rFonts w:ascii="Calibri" w:eastAsia="Calibri" w:hAnsi="Calibri" w:cs="Times New Roman"/>
                <w:lang w:eastAsia="en-US"/>
              </w:rPr>
              <w:t xml:space="preserve">. </w:t>
            </w:r>
            <w:r w:rsidRPr="00E674D6">
              <w:rPr>
                <w:rFonts w:ascii="Calibri" w:eastAsia="Calibri" w:hAnsi="Calibri" w:cs="Times New Roman"/>
                <w:lang w:eastAsia="en-US"/>
              </w:rPr>
              <w:t>L</w:t>
            </w:r>
            <w:r>
              <w:rPr>
                <w:rFonts w:ascii="Calibri" w:eastAsia="Calibri" w:hAnsi="Calibri" w:cs="Times New Roman"/>
                <w:lang w:eastAsia="en-US"/>
              </w:rPr>
              <w:t xml:space="preserve">. </w:t>
            </w:r>
            <w:r w:rsidRPr="00E674D6">
              <w:rPr>
                <w:rFonts w:ascii="Calibri" w:eastAsia="Calibri" w:hAnsi="Calibri" w:cs="Times New Roman"/>
                <w:lang w:eastAsia="en-US"/>
              </w:rPr>
              <w:t>E</w:t>
            </w:r>
            <w:r>
              <w:rPr>
                <w:rFonts w:ascii="Calibri" w:eastAsia="Calibri" w:hAnsi="Calibri" w:cs="Times New Roman"/>
                <w:lang w:eastAsia="en-US"/>
              </w:rPr>
              <w:t>.</w:t>
            </w:r>
            <w:r w:rsidRPr="00E674D6">
              <w:rPr>
                <w:rFonts w:ascii="Calibri" w:eastAsia="Calibri" w:hAnsi="Calibri" w:cs="Times New Roman"/>
                <w:lang w:eastAsia="en-US"/>
              </w:rPr>
              <w:t xml:space="preserve">, </w:t>
            </w:r>
            <w:proofErr w:type="spellStart"/>
            <w:r w:rsidRPr="00E674D6">
              <w:rPr>
                <w:rFonts w:ascii="Calibri" w:eastAsia="Calibri" w:hAnsi="Calibri" w:cs="Times New Roman"/>
                <w:lang w:eastAsia="en-US"/>
              </w:rPr>
              <w:t>Fileman</w:t>
            </w:r>
            <w:proofErr w:type="spellEnd"/>
            <w:r>
              <w:rPr>
                <w:rFonts w:ascii="Calibri" w:eastAsia="Calibri" w:hAnsi="Calibri" w:cs="Times New Roman"/>
                <w:lang w:eastAsia="en-US"/>
              </w:rPr>
              <w:t>,</w:t>
            </w:r>
            <w:r w:rsidRPr="00E674D6">
              <w:rPr>
                <w:rFonts w:ascii="Calibri" w:eastAsia="Calibri" w:hAnsi="Calibri" w:cs="Times New Roman"/>
                <w:lang w:eastAsia="en-US"/>
              </w:rPr>
              <w:t xml:space="preserve"> T</w:t>
            </w:r>
            <w:r>
              <w:rPr>
                <w:rFonts w:ascii="Calibri" w:eastAsia="Calibri" w:hAnsi="Calibri" w:cs="Times New Roman"/>
                <w:lang w:eastAsia="en-US"/>
              </w:rPr>
              <w:t xml:space="preserve">. </w:t>
            </w:r>
            <w:r w:rsidRPr="00E674D6">
              <w:rPr>
                <w:rFonts w:ascii="Calibri" w:eastAsia="Calibri" w:hAnsi="Calibri" w:cs="Times New Roman"/>
                <w:lang w:eastAsia="en-US"/>
              </w:rPr>
              <w:t>W</w:t>
            </w:r>
            <w:r>
              <w:rPr>
                <w:rFonts w:ascii="Calibri" w:eastAsia="Calibri" w:hAnsi="Calibri" w:cs="Times New Roman"/>
                <w:lang w:eastAsia="en-US"/>
              </w:rPr>
              <w:t>.</w:t>
            </w:r>
            <w:r w:rsidRPr="00E674D6">
              <w:rPr>
                <w:rFonts w:ascii="Calibri" w:eastAsia="Calibri" w:hAnsi="Calibri" w:cs="Times New Roman"/>
                <w:lang w:eastAsia="en-US"/>
              </w:rPr>
              <w:t xml:space="preserve">, </w:t>
            </w:r>
            <w:r w:rsidR="00DB6FBC">
              <w:rPr>
                <w:rFonts w:ascii="Calibri" w:eastAsia="Calibri" w:hAnsi="Calibri" w:cs="Times New Roman"/>
                <w:lang w:eastAsia="en-US"/>
              </w:rPr>
              <w:t xml:space="preserve">&amp; </w:t>
            </w:r>
            <w:r w:rsidRPr="00E674D6">
              <w:rPr>
                <w:rFonts w:ascii="Calibri" w:eastAsia="Calibri" w:hAnsi="Calibri" w:cs="Times New Roman"/>
                <w:lang w:eastAsia="en-US"/>
              </w:rPr>
              <w:t>Hall-Spencer</w:t>
            </w:r>
            <w:r>
              <w:rPr>
                <w:rFonts w:ascii="Calibri" w:eastAsia="Calibri" w:hAnsi="Calibri" w:cs="Times New Roman"/>
                <w:lang w:eastAsia="en-US"/>
              </w:rPr>
              <w:t>,</w:t>
            </w:r>
            <w:r w:rsidRPr="00E674D6">
              <w:rPr>
                <w:rFonts w:ascii="Calibri" w:eastAsia="Calibri" w:hAnsi="Calibri" w:cs="Times New Roman"/>
                <w:lang w:eastAsia="en-US"/>
              </w:rPr>
              <w:t xml:space="preserve"> J</w:t>
            </w:r>
            <w:r>
              <w:rPr>
                <w:rFonts w:ascii="Calibri" w:eastAsia="Calibri" w:hAnsi="Calibri" w:cs="Times New Roman"/>
                <w:lang w:eastAsia="en-US"/>
              </w:rPr>
              <w:t xml:space="preserve">. </w:t>
            </w:r>
            <w:r w:rsidRPr="00E674D6">
              <w:rPr>
                <w:rFonts w:ascii="Calibri" w:eastAsia="Calibri" w:hAnsi="Calibri" w:cs="Times New Roman"/>
                <w:lang w:eastAsia="en-US"/>
              </w:rPr>
              <w:t>M</w:t>
            </w:r>
            <w:r>
              <w:rPr>
                <w:rFonts w:ascii="Calibri" w:eastAsia="Calibri" w:hAnsi="Calibri" w:cs="Times New Roman"/>
                <w:lang w:eastAsia="en-US"/>
              </w:rPr>
              <w:t>. (</w:t>
            </w:r>
            <w:r w:rsidRPr="00E674D6">
              <w:rPr>
                <w:rFonts w:ascii="Calibri" w:eastAsia="Calibri" w:hAnsi="Calibri" w:cs="Times New Roman"/>
                <w:lang w:eastAsia="en-US"/>
              </w:rPr>
              <w:t>2018</w:t>
            </w:r>
            <w:r>
              <w:rPr>
                <w:rFonts w:ascii="Calibri" w:eastAsia="Calibri" w:hAnsi="Calibri" w:cs="Times New Roman"/>
                <w:lang w:eastAsia="en-US"/>
              </w:rPr>
              <w:t>)</w:t>
            </w:r>
            <w:r w:rsidRPr="00E674D6">
              <w:rPr>
                <w:rFonts w:ascii="Calibri" w:eastAsia="Calibri" w:hAnsi="Calibri" w:cs="Times New Roman"/>
                <w:lang w:eastAsia="en-US"/>
              </w:rPr>
              <w:t xml:space="preserve">. Low salinity as a biosecurity tool for minimizing biofouling on ship sea chests. </w:t>
            </w:r>
            <w:r w:rsidRPr="00C9537A">
              <w:rPr>
                <w:rFonts w:ascii="Calibri" w:eastAsia="Calibri" w:hAnsi="Calibri" w:cs="Times New Roman"/>
                <w:i/>
                <w:iCs/>
                <w:lang w:eastAsia="en-US"/>
              </w:rPr>
              <w:t>Ocean Science</w:t>
            </w:r>
            <w:r w:rsidRPr="00E674D6">
              <w:rPr>
                <w:rFonts w:ascii="Calibri" w:eastAsia="Calibri" w:hAnsi="Calibri" w:cs="Times New Roman"/>
                <w:lang w:eastAsia="en-US"/>
              </w:rPr>
              <w:t>, 14, 661</w:t>
            </w:r>
            <w:r w:rsidR="00C9537A">
              <w:rPr>
                <w:rFonts w:ascii="Calibri" w:eastAsia="Calibri" w:hAnsi="Calibri" w:cs="Times New Roman"/>
                <w:lang w:eastAsia="en-US"/>
              </w:rPr>
              <w:t>-</w:t>
            </w:r>
            <w:r w:rsidRPr="00E674D6">
              <w:rPr>
                <w:rFonts w:ascii="Calibri" w:eastAsia="Calibri" w:hAnsi="Calibri" w:cs="Times New Roman"/>
                <w:lang w:eastAsia="en-US"/>
              </w:rPr>
              <w:t>667</w:t>
            </w:r>
            <w:r w:rsidR="00C9537A">
              <w:rPr>
                <w:rFonts w:ascii="Calibri" w:eastAsia="Calibri" w:hAnsi="Calibri" w:cs="Times New Roman"/>
                <w:lang w:eastAsia="en-US"/>
              </w:rPr>
              <w:t>.</w:t>
            </w:r>
          </w:p>
          <w:p w14:paraId="4D7CEE71" w14:textId="1C9AF537" w:rsidR="00C9537A" w:rsidRPr="00C60C26" w:rsidRDefault="00C9537A" w:rsidP="002F2131">
            <w:pPr>
              <w:spacing w:after="120" w:line="257" w:lineRule="auto"/>
              <w:rPr>
                <w:rFonts w:ascii="Calibri" w:eastAsia="Calibri" w:hAnsi="Calibri" w:cs="Times New Roman"/>
                <w:lang w:eastAsia="en-US"/>
              </w:rPr>
            </w:pPr>
            <w:r w:rsidRPr="00C9537A">
              <w:rPr>
                <w:rFonts w:ascii="Calibri" w:eastAsia="Calibri" w:hAnsi="Calibri" w:cs="Times New Roman"/>
                <w:lang w:eastAsia="en-US"/>
              </w:rPr>
              <w:t xml:space="preserve">Department of Agriculture and Water Resources </w:t>
            </w:r>
            <w:r>
              <w:rPr>
                <w:rFonts w:ascii="Calibri" w:eastAsia="Calibri" w:hAnsi="Calibri" w:cs="Times New Roman"/>
                <w:lang w:eastAsia="en-US"/>
              </w:rPr>
              <w:t>(</w:t>
            </w:r>
            <w:r w:rsidRPr="00C9537A">
              <w:rPr>
                <w:rFonts w:ascii="Calibri" w:eastAsia="Calibri" w:hAnsi="Calibri" w:cs="Times New Roman"/>
                <w:lang w:eastAsia="en-US"/>
              </w:rPr>
              <w:t>2019</w:t>
            </w:r>
            <w:r>
              <w:rPr>
                <w:rFonts w:ascii="Calibri" w:eastAsia="Calibri" w:hAnsi="Calibri" w:cs="Times New Roman"/>
                <w:lang w:eastAsia="en-US"/>
              </w:rPr>
              <w:t>).</w:t>
            </w:r>
            <w:r w:rsidRPr="00C9537A">
              <w:rPr>
                <w:rFonts w:ascii="Calibri" w:eastAsia="Calibri" w:hAnsi="Calibri" w:cs="Times New Roman"/>
                <w:lang w:eastAsia="en-US"/>
              </w:rPr>
              <w:t xml:space="preserve"> Australian biofouling management requirements for international vessel arrivals—Consultation Regulation Impact Statement, Canberra, March, pp. 40.</w:t>
            </w:r>
          </w:p>
          <w:p w14:paraId="6FA0E6CA" w14:textId="594189CD"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Eberhardt, A., Pederson, J.</w:t>
            </w:r>
            <w:r w:rsidR="00447DC6">
              <w:rPr>
                <w:rFonts w:ascii="Calibri" w:eastAsia="Calibri" w:hAnsi="Calibri" w:cs="Times New Roman"/>
                <w:lang w:eastAsia="en-US"/>
              </w:rPr>
              <w:t>,</w:t>
            </w:r>
            <w:r w:rsidRPr="00C60C26">
              <w:rPr>
                <w:rFonts w:ascii="Calibri" w:eastAsia="Calibri" w:hAnsi="Calibri" w:cs="Times New Roman"/>
                <w:lang w:eastAsia="en-US"/>
              </w:rPr>
              <w:t xml:space="preserve"> &amp; Bisson, B. (2016). Rapid response plan for management and control of the Chinese Mitten Crab, Northeast United States and Atlantic Canada. </w:t>
            </w:r>
            <w:r w:rsidRPr="00C60C26">
              <w:rPr>
                <w:rFonts w:ascii="Calibri" w:eastAsia="Calibri" w:hAnsi="Calibri" w:cs="Times New Roman"/>
                <w:i/>
                <w:lang w:eastAsia="en-US"/>
              </w:rPr>
              <w:t>Maine Sea Grant Publications</w:t>
            </w:r>
            <w:r w:rsidRPr="00C60C26">
              <w:rPr>
                <w:rFonts w:ascii="Calibri" w:eastAsia="Calibri" w:hAnsi="Calibri" w:cs="Times New Roman"/>
                <w:lang w:eastAsia="en-US"/>
              </w:rPr>
              <w:t xml:space="preserve">, 119. </w:t>
            </w:r>
          </w:p>
          <w:p w14:paraId="0AC2B505" w14:textId="5C2919E9"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Egan, S. P., Barnes, M. A., Hwang, C.-T., Mahon, A. R., Feder, J. L., Ruggiero, S. T., Tanner, C. E., &amp; Lodge, D. M. (2013). Rapid invasive species detection by combining environmental DNA with light transmission spectroscopy. </w:t>
            </w:r>
            <w:r w:rsidRPr="00C60C26">
              <w:rPr>
                <w:rFonts w:ascii="Calibri" w:eastAsia="Calibri" w:hAnsi="Calibri" w:cs="Times New Roman"/>
                <w:i/>
                <w:lang w:eastAsia="en-US"/>
              </w:rPr>
              <w:t>Conservation Letters</w:t>
            </w:r>
            <w:r w:rsidRPr="00C60C26">
              <w:rPr>
                <w:rFonts w:ascii="Calibri" w:eastAsia="Calibri" w:hAnsi="Calibri" w:cs="Times New Roman"/>
                <w:lang w:eastAsia="en-US"/>
              </w:rPr>
              <w:t>, 6, 402-409</w:t>
            </w:r>
            <w:r w:rsidR="00624B5D">
              <w:rPr>
                <w:rFonts w:ascii="Calibri" w:eastAsia="Calibri" w:hAnsi="Calibri" w:cs="Times New Roman"/>
                <w:lang w:eastAsia="en-US"/>
              </w:rPr>
              <w:t>.</w:t>
            </w:r>
          </w:p>
          <w:p w14:paraId="6AA72800" w14:textId="4DABE127" w:rsidR="00C4569F" w:rsidRPr="00C4569F" w:rsidRDefault="00C60C26"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EPA, </w:t>
            </w:r>
            <w:r w:rsidR="00C4569F" w:rsidRPr="00C60C26">
              <w:rPr>
                <w:rFonts w:ascii="Calibri" w:eastAsia="Calibri" w:hAnsi="Calibri" w:cs="Times New Roman"/>
                <w:lang w:eastAsia="en-US"/>
              </w:rPr>
              <w:t>Environment Protection Agency (2011). Efficacy of ballast water treatment systems: a report by the EPA Science Advisory Board, pp. 154</w:t>
            </w:r>
            <w:r w:rsidR="00624B5D">
              <w:rPr>
                <w:rFonts w:ascii="Calibri" w:eastAsia="Calibri" w:hAnsi="Calibri" w:cs="Times New Roman"/>
                <w:lang w:eastAsia="en-US"/>
              </w:rPr>
              <w:t>.</w:t>
            </w:r>
          </w:p>
          <w:p w14:paraId="29B68821" w14:textId="35DFFA9B" w:rsidR="00C4569F" w:rsidRPr="001311D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Falkingham</w:t>
            </w:r>
            <w:proofErr w:type="spellEnd"/>
            <w:r w:rsidRPr="00C60C26">
              <w:rPr>
                <w:rFonts w:ascii="Calibri" w:eastAsia="Calibri" w:hAnsi="Calibri" w:cs="Times New Roman"/>
                <w:lang w:eastAsia="en-US"/>
              </w:rPr>
              <w:t>, A., Yeardley J., &amp; Hughes, R. (2016.) Monitoring of Chinese Mitten Crabs (</w:t>
            </w:r>
            <w:proofErr w:type="spellStart"/>
            <w:r w:rsidRPr="00C60C26">
              <w:rPr>
                <w:rFonts w:ascii="Calibri" w:eastAsia="Calibri" w:hAnsi="Calibri" w:cs="Times New Roman"/>
                <w:i/>
                <w:lang w:eastAsia="en-US"/>
              </w:rPr>
              <w:t>Eriocheir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xml:space="preserve">) on the River Dee. </w:t>
            </w:r>
            <w:r w:rsidRPr="001311D6">
              <w:rPr>
                <w:rFonts w:ascii="Calibri" w:eastAsia="Calibri" w:hAnsi="Calibri" w:cs="Times New Roman"/>
                <w:lang w:eastAsia="en-US"/>
              </w:rPr>
              <w:t>Report, pp. 90.</w:t>
            </w:r>
          </w:p>
          <w:p w14:paraId="6C9DE7A5" w14:textId="689D9EF1" w:rsidR="00C9537A" w:rsidRPr="001311D6" w:rsidRDefault="00C9537A" w:rsidP="002F2131">
            <w:pPr>
              <w:spacing w:after="120" w:line="257" w:lineRule="auto"/>
              <w:rPr>
                <w:rFonts w:ascii="Calibri" w:eastAsia="Calibri" w:hAnsi="Calibri" w:cs="Times New Roman"/>
                <w:lang w:val="it-IT" w:eastAsia="en-US"/>
              </w:rPr>
            </w:pPr>
            <w:r w:rsidRPr="00C9537A">
              <w:rPr>
                <w:rFonts w:ascii="Calibri" w:eastAsia="Calibri" w:hAnsi="Calibri" w:cs="Times New Roman"/>
                <w:lang w:eastAsia="en-US"/>
              </w:rPr>
              <w:t>Fernandes</w:t>
            </w:r>
            <w:r>
              <w:rPr>
                <w:rFonts w:ascii="Calibri" w:eastAsia="Calibri" w:hAnsi="Calibri" w:cs="Times New Roman"/>
                <w:lang w:eastAsia="en-US"/>
              </w:rPr>
              <w:t>,</w:t>
            </w:r>
            <w:r w:rsidRPr="00C9537A">
              <w:rPr>
                <w:rFonts w:ascii="Calibri" w:eastAsia="Calibri" w:hAnsi="Calibri" w:cs="Times New Roman"/>
                <w:lang w:eastAsia="en-US"/>
              </w:rPr>
              <w:t xml:space="preserve"> J</w:t>
            </w:r>
            <w:r>
              <w:rPr>
                <w:rFonts w:ascii="Calibri" w:eastAsia="Calibri" w:hAnsi="Calibri" w:cs="Times New Roman"/>
                <w:lang w:eastAsia="en-US"/>
              </w:rPr>
              <w:t xml:space="preserve">. </w:t>
            </w:r>
            <w:r w:rsidRPr="00C9537A">
              <w:rPr>
                <w:rFonts w:ascii="Calibri" w:eastAsia="Calibri" w:hAnsi="Calibri" w:cs="Times New Roman"/>
                <w:lang w:eastAsia="en-US"/>
              </w:rPr>
              <w:t>A</w:t>
            </w:r>
            <w:r>
              <w:rPr>
                <w:rFonts w:ascii="Calibri" w:eastAsia="Calibri" w:hAnsi="Calibri" w:cs="Times New Roman"/>
                <w:lang w:eastAsia="en-US"/>
              </w:rPr>
              <w:t>.</w:t>
            </w:r>
            <w:r w:rsidRPr="00C9537A">
              <w:rPr>
                <w:rFonts w:ascii="Calibri" w:eastAsia="Calibri" w:hAnsi="Calibri" w:cs="Times New Roman"/>
                <w:lang w:eastAsia="en-US"/>
              </w:rPr>
              <w:t>, Santos</w:t>
            </w:r>
            <w:r>
              <w:rPr>
                <w:rFonts w:ascii="Calibri" w:eastAsia="Calibri" w:hAnsi="Calibri" w:cs="Times New Roman"/>
                <w:lang w:eastAsia="en-US"/>
              </w:rPr>
              <w:t>,</w:t>
            </w:r>
            <w:r w:rsidRPr="00C9537A">
              <w:rPr>
                <w:rFonts w:ascii="Calibri" w:eastAsia="Calibri" w:hAnsi="Calibri" w:cs="Times New Roman"/>
                <w:lang w:eastAsia="en-US"/>
              </w:rPr>
              <w:t xml:space="preserve"> L</w:t>
            </w:r>
            <w:r>
              <w:rPr>
                <w:rFonts w:ascii="Calibri" w:eastAsia="Calibri" w:hAnsi="Calibri" w:cs="Times New Roman"/>
                <w:lang w:eastAsia="en-US"/>
              </w:rPr>
              <w:t>.</w:t>
            </w:r>
            <w:r w:rsidRPr="00C9537A">
              <w:rPr>
                <w:rFonts w:ascii="Calibri" w:eastAsia="Calibri" w:hAnsi="Calibri" w:cs="Times New Roman"/>
                <w:lang w:eastAsia="en-US"/>
              </w:rPr>
              <w:t>, Vance</w:t>
            </w:r>
            <w:r>
              <w:rPr>
                <w:rFonts w:ascii="Calibri" w:eastAsia="Calibri" w:hAnsi="Calibri" w:cs="Times New Roman"/>
                <w:lang w:eastAsia="en-US"/>
              </w:rPr>
              <w:t>,</w:t>
            </w:r>
            <w:r w:rsidRPr="00C9537A">
              <w:rPr>
                <w:rFonts w:ascii="Calibri" w:eastAsia="Calibri" w:hAnsi="Calibri" w:cs="Times New Roman"/>
                <w:lang w:eastAsia="en-US"/>
              </w:rPr>
              <w:t xml:space="preserve"> T</w:t>
            </w:r>
            <w:r>
              <w:rPr>
                <w:rFonts w:ascii="Calibri" w:eastAsia="Calibri" w:hAnsi="Calibri" w:cs="Times New Roman"/>
                <w:lang w:eastAsia="en-US"/>
              </w:rPr>
              <w:t>.</w:t>
            </w:r>
            <w:r w:rsidRPr="00C9537A">
              <w:rPr>
                <w:rFonts w:ascii="Calibri" w:eastAsia="Calibri" w:hAnsi="Calibri" w:cs="Times New Roman"/>
                <w:lang w:eastAsia="en-US"/>
              </w:rPr>
              <w:t xml:space="preserve">, </w:t>
            </w:r>
            <w:proofErr w:type="spellStart"/>
            <w:r w:rsidRPr="00C9537A">
              <w:rPr>
                <w:rFonts w:ascii="Calibri" w:eastAsia="Calibri" w:hAnsi="Calibri" w:cs="Times New Roman"/>
                <w:lang w:eastAsia="en-US"/>
              </w:rPr>
              <w:t>Fileman</w:t>
            </w:r>
            <w:proofErr w:type="spellEnd"/>
            <w:r>
              <w:rPr>
                <w:rFonts w:ascii="Calibri" w:eastAsia="Calibri" w:hAnsi="Calibri" w:cs="Times New Roman"/>
                <w:lang w:eastAsia="en-US"/>
              </w:rPr>
              <w:t>,</w:t>
            </w:r>
            <w:r w:rsidRPr="00C9537A">
              <w:rPr>
                <w:rFonts w:ascii="Calibri" w:eastAsia="Calibri" w:hAnsi="Calibri" w:cs="Times New Roman"/>
                <w:lang w:eastAsia="en-US"/>
              </w:rPr>
              <w:t xml:space="preserve"> T</w:t>
            </w:r>
            <w:r>
              <w:rPr>
                <w:rFonts w:ascii="Calibri" w:eastAsia="Calibri" w:hAnsi="Calibri" w:cs="Times New Roman"/>
                <w:lang w:eastAsia="en-US"/>
              </w:rPr>
              <w:t>.</w:t>
            </w:r>
            <w:r w:rsidRPr="00C9537A">
              <w:rPr>
                <w:rFonts w:ascii="Calibri" w:eastAsia="Calibri" w:hAnsi="Calibri" w:cs="Times New Roman"/>
                <w:lang w:eastAsia="en-US"/>
              </w:rPr>
              <w:t>, Smith</w:t>
            </w:r>
            <w:r>
              <w:rPr>
                <w:rFonts w:ascii="Calibri" w:eastAsia="Calibri" w:hAnsi="Calibri" w:cs="Times New Roman"/>
                <w:lang w:eastAsia="en-US"/>
              </w:rPr>
              <w:t>,</w:t>
            </w:r>
            <w:r w:rsidRPr="00C9537A">
              <w:rPr>
                <w:rFonts w:ascii="Calibri" w:eastAsia="Calibri" w:hAnsi="Calibri" w:cs="Times New Roman"/>
                <w:lang w:eastAsia="en-US"/>
              </w:rPr>
              <w:t xml:space="preserve"> D</w:t>
            </w:r>
            <w:r>
              <w:rPr>
                <w:rFonts w:ascii="Calibri" w:eastAsia="Calibri" w:hAnsi="Calibri" w:cs="Times New Roman"/>
                <w:lang w:eastAsia="en-US"/>
              </w:rPr>
              <w:t>.</w:t>
            </w:r>
            <w:r w:rsidRPr="00C9537A">
              <w:rPr>
                <w:rFonts w:ascii="Calibri" w:eastAsia="Calibri" w:hAnsi="Calibri" w:cs="Times New Roman"/>
                <w:lang w:eastAsia="en-US"/>
              </w:rPr>
              <w:t>, Bishop</w:t>
            </w:r>
            <w:r>
              <w:rPr>
                <w:rFonts w:ascii="Calibri" w:eastAsia="Calibri" w:hAnsi="Calibri" w:cs="Times New Roman"/>
                <w:lang w:eastAsia="en-US"/>
              </w:rPr>
              <w:t>,</w:t>
            </w:r>
            <w:r w:rsidRPr="00C9537A">
              <w:rPr>
                <w:rFonts w:ascii="Calibri" w:eastAsia="Calibri" w:hAnsi="Calibri" w:cs="Times New Roman"/>
                <w:lang w:eastAsia="en-US"/>
              </w:rPr>
              <w:t xml:space="preserve"> J</w:t>
            </w:r>
            <w:r>
              <w:rPr>
                <w:rFonts w:ascii="Calibri" w:eastAsia="Calibri" w:hAnsi="Calibri" w:cs="Times New Roman"/>
                <w:lang w:eastAsia="en-US"/>
              </w:rPr>
              <w:t xml:space="preserve">. </w:t>
            </w:r>
            <w:r w:rsidRPr="00C9537A">
              <w:rPr>
                <w:rFonts w:ascii="Calibri" w:eastAsia="Calibri" w:hAnsi="Calibri" w:cs="Times New Roman"/>
                <w:lang w:eastAsia="en-US"/>
              </w:rPr>
              <w:t>D</w:t>
            </w:r>
            <w:r>
              <w:rPr>
                <w:rFonts w:ascii="Calibri" w:eastAsia="Calibri" w:hAnsi="Calibri" w:cs="Times New Roman"/>
                <w:lang w:eastAsia="en-US"/>
              </w:rPr>
              <w:t xml:space="preserve">. </w:t>
            </w:r>
            <w:r w:rsidRPr="00C9537A">
              <w:rPr>
                <w:rFonts w:ascii="Calibri" w:eastAsia="Calibri" w:hAnsi="Calibri" w:cs="Times New Roman"/>
                <w:lang w:eastAsia="en-US"/>
              </w:rPr>
              <w:t>D</w:t>
            </w:r>
            <w:r>
              <w:rPr>
                <w:rFonts w:ascii="Calibri" w:eastAsia="Calibri" w:hAnsi="Calibri" w:cs="Times New Roman"/>
                <w:lang w:eastAsia="en-US"/>
              </w:rPr>
              <w:t>.</w:t>
            </w:r>
            <w:r w:rsidRPr="00C9537A">
              <w:rPr>
                <w:rFonts w:ascii="Calibri" w:eastAsia="Calibri" w:hAnsi="Calibri" w:cs="Times New Roman"/>
                <w:lang w:eastAsia="en-US"/>
              </w:rPr>
              <w:t xml:space="preserve">, </w:t>
            </w:r>
            <w:proofErr w:type="spellStart"/>
            <w:r w:rsidRPr="00C9537A">
              <w:rPr>
                <w:rFonts w:ascii="Calibri" w:eastAsia="Calibri" w:hAnsi="Calibri" w:cs="Times New Roman"/>
                <w:lang w:eastAsia="en-US"/>
              </w:rPr>
              <w:t>Viard</w:t>
            </w:r>
            <w:proofErr w:type="spellEnd"/>
            <w:r>
              <w:rPr>
                <w:rFonts w:ascii="Calibri" w:eastAsia="Calibri" w:hAnsi="Calibri" w:cs="Times New Roman"/>
                <w:lang w:eastAsia="en-US"/>
              </w:rPr>
              <w:t>,</w:t>
            </w:r>
            <w:r w:rsidRPr="00C9537A">
              <w:rPr>
                <w:rFonts w:ascii="Calibri" w:eastAsia="Calibri" w:hAnsi="Calibri" w:cs="Times New Roman"/>
                <w:lang w:eastAsia="en-US"/>
              </w:rPr>
              <w:t xml:space="preserve"> F</w:t>
            </w:r>
            <w:r>
              <w:rPr>
                <w:rFonts w:ascii="Calibri" w:eastAsia="Calibri" w:hAnsi="Calibri" w:cs="Times New Roman"/>
                <w:lang w:eastAsia="en-US"/>
              </w:rPr>
              <w:t>.</w:t>
            </w:r>
            <w:r w:rsidRPr="00C9537A">
              <w:rPr>
                <w:rFonts w:ascii="Calibri" w:eastAsia="Calibri" w:hAnsi="Calibri" w:cs="Times New Roman"/>
                <w:lang w:eastAsia="en-US"/>
              </w:rPr>
              <w:t xml:space="preserve">, </w:t>
            </w:r>
            <w:proofErr w:type="spellStart"/>
            <w:r w:rsidRPr="00C9537A">
              <w:rPr>
                <w:rFonts w:ascii="Calibri" w:eastAsia="Calibri" w:hAnsi="Calibri" w:cs="Times New Roman"/>
                <w:lang w:eastAsia="en-US"/>
              </w:rPr>
              <w:t>Queiros</w:t>
            </w:r>
            <w:proofErr w:type="spellEnd"/>
            <w:r>
              <w:rPr>
                <w:rFonts w:ascii="Calibri" w:eastAsia="Calibri" w:hAnsi="Calibri" w:cs="Times New Roman"/>
                <w:lang w:eastAsia="en-US"/>
              </w:rPr>
              <w:t>,</w:t>
            </w:r>
            <w:r w:rsidRPr="00C9537A">
              <w:rPr>
                <w:rFonts w:ascii="Calibri" w:eastAsia="Calibri" w:hAnsi="Calibri" w:cs="Times New Roman"/>
                <w:lang w:eastAsia="en-US"/>
              </w:rPr>
              <w:t xml:space="preserve"> A</w:t>
            </w:r>
            <w:r>
              <w:rPr>
                <w:rFonts w:ascii="Calibri" w:eastAsia="Calibri" w:hAnsi="Calibri" w:cs="Times New Roman"/>
                <w:lang w:eastAsia="en-US"/>
              </w:rPr>
              <w:t xml:space="preserve">. </w:t>
            </w:r>
            <w:r w:rsidRPr="00C9537A">
              <w:rPr>
                <w:rFonts w:ascii="Calibri" w:eastAsia="Calibri" w:hAnsi="Calibri" w:cs="Times New Roman"/>
                <w:lang w:eastAsia="en-US"/>
              </w:rPr>
              <w:t>M</w:t>
            </w:r>
            <w:r>
              <w:rPr>
                <w:rFonts w:ascii="Calibri" w:eastAsia="Calibri" w:hAnsi="Calibri" w:cs="Times New Roman"/>
                <w:lang w:eastAsia="en-US"/>
              </w:rPr>
              <w:t>.</w:t>
            </w:r>
            <w:r w:rsidRPr="00C9537A">
              <w:rPr>
                <w:rFonts w:ascii="Calibri" w:eastAsia="Calibri" w:hAnsi="Calibri" w:cs="Times New Roman"/>
                <w:lang w:eastAsia="en-US"/>
              </w:rPr>
              <w:t>, Merino</w:t>
            </w:r>
            <w:r>
              <w:rPr>
                <w:rFonts w:ascii="Calibri" w:eastAsia="Calibri" w:hAnsi="Calibri" w:cs="Times New Roman"/>
                <w:lang w:eastAsia="en-US"/>
              </w:rPr>
              <w:t>,</w:t>
            </w:r>
            <w:r w:rsidRPr="00C9537A">
              <w:rPr>
                <w:rFonts w:ascii="Calibri" w:eastAsia="Calibri" w:hAnsi="Calibri" w:cs="Times New Roman"/>
                <w:lang w:eastAsia="en-US"/>
              </w:rPr>
              <w:t xml:space="preserve"> G</w:t>
            </w:r>
            <w:r>
              <w:rPr>
                <w:rFonts w:ascii="Calibri" w:eastAsia="Calibri" w:hAnsi="Calibri" w:cs="Times New Roman"/>
                <w:lang w:eastAsia="en-US"/>
              </w:rPr>
              <w:t>.</w:t>
            </w:r>
            <w:r w:rsidRPr="00C9537A">
              <w:rPr>
                <w:rFonts w:ascii="Calibri" w:eastAsia="Calibri" w:hAnsi="Calibri" w:cs="Times New Roman"/>
                <w:lang w:eastAsia="en-US"/>
              </w:rPr>
              <w:t xml:space="preserve">, </w:t>
            </w:r>
            <w:proofErr w:type="spellStart"/>
            <w:r w:rsidRPr="00C9537A">
              <w:rPr>
                <w:rFonts w:ascii="Calibri" w:eastAsia="Calibri" w:hAnsi="Calibri" w:cs="Times New Roman"/>
                <w:lang w:eastAsia="en-US"/>
              </w:rPr>
              <w:t>Buisman</w:t>
            </w:r>
            <w:proofErr w:type="spellEnd"/>
            <w:r>
              <w:rPr>
                <w:rFonts w:ascii="Calibri" w:eastAsia="Calibri" w:hAnsi="Calibri" w:cs="Times New Roman"/>
                <w:lang w:eastAsia="en-US"/>
              </w:rPr>
              <w:t>,</w:t>
            </w:r>
            <w:r w:rsidRPr="00C9537A">
              <w:rPr>
                <w:rFonts w:ascii="Calibri" w:eastAsia="Calibri" w:hAnsi="Calibri" w:cs="Times New Roman"/>
                <w:lang w:eastAsia="en-US"/>
              </w:rPr>
              <w:t xml:space="preserve"> E</w:t>
            </w:r>
            <w:r>
              <w:rPr>
                <w:rFonts w:ascii="Calibri" w:eastAsia="Calibri" w:hAnsi="Calibri" w:cs="Times New Roman"/>
                <w:lang w:eastAsia="en-US"/>
              </w:rPr>
              <w:t>.</w:t>
            </w:r>
            <w:r w:rsidRPr="00C9537A">
              <w:rPr>
                <w:rFonts w:ascii="Calibri" w:eastAsia="Calibri" w:hAnsi="Calibri" w:cs="Times New Roman"/>
                <w:lang w:eastAsia="en-US"/>
              </w:rPr>
              <w:t xml:space="preserve">, </w:t>
            </w:r>
            <w:r w:rsidR="00DB6FBC">
              <w:rPr>
                <w:rFonts w:ascii="Calibri" w:eastAsia="Calibri" w:hAnsi="Calibri" w:cs="Times New Roman"/>
                <w:lang w:eastAsia="en-US"/>
              </w:rPr>
              <w:t xml:space="preserve">&amp; </w:t>
            </w:r>
            <w:r w:rsidRPr="00C9537A">
              <w:rPr>
                <w:rFonts w:ascii="Calibri" w:eastAsia="Calibri" w:hAnsi="Calibri" w:cs="Times New Roman"/>
                <w:lang w:eastAsia="en-US"/>
              </w:rPr>
              <w:t>Austen</w:t>
            </w:r>
            <w:r>
              <w:rPr>
                <w:rFonts w:ascii="Calibri" w:eastAsia="Calibri" w:hAnsi="Calibri" w:cs="Times New Roman"/>
                <w:lang w:eastAsia="en-US"/>
              </w:rPr>
              <w:t>,</w:t>
            </w:r>
            <w:r w:rsidRPr="00C9537A">
              <w:rPr>
                <w:rFonts w:ascii="Calibri" w:eastAsia="Calibri" w:hAnsi="Calibri" w:cs="Times New Roman"/>
                <w:lang w:eastAsia="en-US"/>
              </w:rPr>
              <w:t xml:space="preserve"> M</w:t>
            </w:r>
            <w:r>
              <w:rPr>
                <w:rFonts w:ascii="Calibri" w:eastAsia="Calibri" w:hAnsi="Calibri" w:cs="Times New Roman"/>
                <w:lang w:eastAsia="en-US"/>
              </w:rPr>
              <w:t xml:space="preserve">. </w:t>
            </w:r>
            <w:r w:rsidRPr="00C9537A">
              <w:rPr>
                <w:rFonts w:ascii="Calibri" w:eastAsia="Calibri" w:hAnsi="Calibri" w:cs="Times New Roman"/>
                <w:lang w:eastAsia="en-US"/>
              </w:rPr>
              <w:t>C</w:t>
            </w:r>
            <w:r>
              <w:rPr>
                <w:rFonts w:ascii="Calibri" w:eastAsia="Calibri" w:hAnsi="Calibri" w:cs="Times New Roman"/>
                <w:lang w:eastAsia="en-US"/>
              </w:rPr>
              <w:t>.</w:t>
            </w:r>
            <w:r w:rsidRPr="00C9537A">
              <w:rPr>
                <w:rFonts w:ascii="Calibri" w:eastAsia="Calibri" w:hAnsi="Calibri" w:cs="Times New Roman"/>
                <w:lang w:eastAsia="en-US"/>
              </w:rPr>
              <w:t xml:space="preserve"> (2016)</w:t>
            </w:r>
            <w:r>
              <w:rPr>
                <w:rFonts w:ascii="Calibri" w:eastAsia="Calibri" w:hAnsi="Calibri" w:cs="Times New Roman"/>
                <w:lang w:eastAsia="en-US"/>
              </w:rPr>
              <w:t>.</w:t>
            </w:r>
            <w:r w:rsidRPr="00C9537A">
              <w:rPr>
                <w:rFonts w:ascii="Calibri" w:eastAsia="Calibri" w:hAnsi="Calibri" w:cs="Times New Roman"/>
                <w:lang w:eastAsia="en-US"/>
              </w:rPr>
              <w:t xml:space="preserve"> Costs and benefits to European shipping of ballast-water and hull-fouling treatment: impacts of native and nonindigenous species. </w:t>
            </w:r>
            <w:r w:rsidRPr="001311D6">
              <w:rPr>
                <w:rFonts w:ascii="Calibri" w:eastAsia="Calibri" w:hAnsi="Calibri" w:cs="Times New Roman"/>
                <w:i/>
                <w:iCs/>
                <w:lang w:val="it-IT" w:eastAsia="en-US"/>
              </w:rPr>
              <w:t>Marine Policy</w:t>
            </w:r>
            <w:r w:rsidRPr="001311D6">
              <w:rPr>
                <w:rFonts w:ascii="Calibri" w:eastAsia="Calibri" w:hAnsi="Calibri" w:cs="Times New Roman"/>
                <w:lang w:val="it-IT" w:eastAsia="en-US"/>
              </w:rPr>
              <w:t>, 64, 148-155.</w:t>
            </w:r>
          </w:p>
          <w:p w14:paraId="5A9124B1" w14:textId="7563CE89"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val="it-IT" w:eastAsia="en-US"/>
              </w:rPr>
              <w:t xml:space="preserve">Ficetola, G. F., Miaud, C., Pompanon, F., &amp; Taberlet, P. (2008). </w:t>
            </w:r>
            <w:r w:rsidRPr="00C60C26">
              <w:rPr>
                <w:rFonts w:ascii="Calibri" w:eastAsia="Calibri" w:hAnsi="Calibri" w:cs="Times New Roman"/>
                <w:lang w:eastAsia="en-US"/>
              </w:rPr>
              <w:t xml:space="preserve">Species detection using environmental DNA from water samples. </w:t>
            </w:r>
            <w:r w:rsidRPr="00C60C26">
              <w:rPr>
                <w:rFonts w:ascii="Calibri" w:eastAsia="Calibri" w:hAnsi="Calibri" w:cs="Times New Roman"/>
                <w:i/>
                <w:lang w:eastAsia="en-US"/>
              </w:rPr>
              <w:t>Biology Letters</w:t>
            </w:r>
            <w:r w:rsidRPr="00C60C26">
              <w:rPr>
                <w:rFonts w:ascii="Calibri" w:eastAsia="Calibri" w:hAnsi="Calibri" w:cs="Times New Roman"/>
                <w:lang w:eastAsia="en-US"/>
              </w:rPr>
              <w:t>, 4, 423-425</w:t>
            </w:r>
            <w:r w:rsidR="00624B5D">
              <w:rPr>
                <w:rFonts w:ascii="Calibri" w:eastAsia="Calibri" w:hAnsi="Calibri" w:cs="Times New Roman"/>
                <w:lang w:eastAsia="en-US"/>
              </w:rPr>
              <w:t>.</w:t>
            </w:r>
          </w:p>
          <w:p w14:paraId="0D3977D1" w14:textId="225EF542"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First, M. R., &amp; Drake, L. A. (2017)</w:t>
            </w:r>
            <w:r w:rsidR="006F7F8A" w:rsidRPr="00C60C26">
              <w:rPr>
                <w:rFonts w:ascii="Calibri" w:eastAsia="Calibri" w:hAnsi="Calibri" w:cs="Times New Roman"/>
                <w:lang w:eastAsia="en-US"/>
              </w:rPr>
              <w:t>.</w:t>
            </w:r>
            <w:r w:rsidRPr="00C60C26">
              <w:rPr>
                <w:rFonts w:ascii="Calibri" w:eastAsia="Calibri" w:hAnsi="Calibri" w:cs="Times New Roman"/>
                <w:lang w:eastAsia="en-US"/>
              </w:rPr>
              <w:t xml:space="preserve"> The practicability of ships arriving to the Great Lakes to conduct ballast water exchange treatment—analysis of shipping patterns. </w:t>
            </w:r>
            <w:r w:rsidRPr="00C60C26">
              <w:rPr>
                <w:rFonts w:ascii="Calibri" w:eastAsia="Calibri" w:hAnsi="Calibri" w:cs="Times New Roman"/>
                <w:i/>
                <w:lang w:eastAsia="en-US"/>
              </w:rPr>
              <w:t>Journal of Great Lakes Research</w:t>
            </w:r>
            <w:r w:rsidRPr="00C60C26">
              <w:rPr>
                <w:rFonts w:ascii="Calibri" w:eastAsia="Calibri" w:hAnsi="Calibri" w:cs="Times New Roman"/>
                <w:lang w:eastAsia="en-US"/>
              </w:rPr>
              <w:t>, 43, 755-761</w:t>
            </w:r>
            <w:r w:rsidR="00624B5D">
              <w:rPr>
                <w:rFonts w:ascii="Calibri" w:eastAsia="Calibri" w:hAnsi="Calibri" w:cs="Times New Roman"/>
                <w:lang w:eastAsia="en-US"/>
              </w:rPr>
              <w:t>.</w:t>
            </w:r>
            <w:r w:rsidRPr="00C60C26">
              <w:rPr>
                <w:rFonts w:ascii="Calibri" w:eastAsia="Calibri" w:hAnsi="Calibri" w:cs="Times New Roman"/>
                <w:lang w:eastAsia="en-US"/>
              </w:rPr>
              <w:t xml:space="preserve"> </w:t>
            </w:r>
          </w:p>
          <w:p w14:paraId="70B63469" w14:textId="41007D3E" w:rsidR="00C4569F"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Furlan</w:t>
            </w:r>
            <w:proofErr w:type="spellEnd"/>
            <w:r w:rsidRPr="00C60C26">
              <w:rPr>
                <w:rFonts w:ascii="Calibri" w:eastAsia="Calibri" w:hAnsi="Calibri" w:cs="Times New Roman"/>
                <w:lang w:eastAsia="en-US"/>
              </w:rPr>
              <w:t xml:space="preserve">, E. M., Gleeson, D., Hardy, C. M., &amp; Duncan, R. P. (2016). A framework for estimating the sensitivity of eDNA surveys. </w:t>
            </w:r>
            <w:r w:rsidRPr="00C60C26">
              <w:rPr>
                <w:rFonts w:ascii="Calibri" w:eastAsia="Calibri" w:hAnsi="Calibri" w:cs="Times New Roman"/>
                <w:i/>
                <w:lang w:eastAsia="en-US"/>
              </w:rPr>
              <w:t>Molecular Ecology Resources</w:t>
            </w:r>
            <w:r w:rsidRPr="00C60C26">
              <w:rPr>
                <w:rFonts w:ascii="Calibri" w:eastAsia="Calibri" w:hAnsi="Calibri" w:cs="Times New Roman"/>
                <w:lang w:eastAsia="en-US"/>
              </w:rPr>
              <w:t>, 16(3), 641-654</w:t>
            </w:r>
            <w:r w:rsidR="00624B5D">
              <w:rPr>
                <w:rFonts w:ascii="Calibri" w:eastAsia="Calibri" w:hAnsi="Calibri" w:cs="Times New Roman"/>
                <w:lang w:eastAsia="en-US"/>
              </w:rPr>
              <w:t>.</w:t>
            </w:r>
          </w:p>
          <w:p w14:paraId="4AD18472" w14:textId="20AD1E42" w:rsidR="00DB6FBC" w:rsidRPr="00C60C26" w:rsidRDefault="00DB6FBC" w:rsidP="002F2131">
            <w:pPr>
              <w:spacing w:after="120" w:line="257" w:lineRule="auto"/>
              <w:rPr>
                <w:rFonts w:ascii="Calibri" w:eastAsia="Calibri" w:hAnsi="Calibri" w:cs="Times New Roman"/>
                <w:lang w:eastAsia="en-US"/>
              </w:rPr>
            </w:pPr>
            <w:r w:rsidRPr="009D2758">
              <w:rPr>
                <w:rFonts w:ascii="Calibri" w:eastAsia="Calibri" w:hAnsi="Calibri" w:cs="Times New Roman"/>
                <w:lang w:val="it-IT" w:eastAsia="en-US"/>
              </w:rPr>
              <w:lastRenderedPageBreak/>
              <w:t xml:space="preserve">Galil, B. S., McKenzie, C., Bailey, S., Campbell M., Davidson, I., Drake, L., Hewitt, C., Occhipinti-Ambrogi, A., &amp; Piola, R. 2019. </w:t>
            </w:r>
            <w:r w:rsidRPr="00DB6FBC">
              <w:rPr>
                <w:rFonts w:ascii="Calibri" w:eastAsia="Calibri" w:hAnsi="Calibri" w:cs="Times New Roman"/>
                <w:lang w:eastAsia="en-US"/>
              </w:rPr>
              <w:t>ICES Viewpoint background document: evaluating and mitigating introduction of marine non-native species via vessel biofouling. ICES Ad Hoc Report 2019</w:t>
            </w:r>
            <w:r>
              <w:rPr>
                <w:rFonts w:ascii="Calibri" w:eastAsia="Calibri" w:hAnsi="Calibri" w:cs="Times New Roman"/>
                <w:lang w:eastAsia="en-US"/>
              </w:rPr>
              <w:t>, pp</w:t>
            </w:r>
            <w:r w:rsidRPr="00DB6FBC">
              <w:rPr>
                <w:rFonts w:ascii="Calibri" w:eastAsia="Calibri" w:hAnsi="Calibri" w:cs="Times New Roman"/>
                <w:lang w:eastAsia="en-US"/>
              </w:rPr>
              <w:t xml:space="preserve">. 17. </w:t>
            </w:r>
            <w:r w:rsidR="00F016F3">
              <w:rPr>
                <w:rFonts w:ascii="Calibri" w:eastAsia="Calibri" w:hAnsi="Calibri" w:cs="Times New Roman"/>
                <w:lang w:eastAsia="en-US"/>
              </w:rPr>
              <w:t>ht</w:t>
            </w:r>
            <w:r w:rsidRPr="00DB6FBC">
              <w:rPr>
                <w:rFonts w:ascii="Calibri" w:eastAsia="Calibri" w:hAnsi="Calibri" w:cs="Times New Roman"/>
                <w:lang w:eastAsia="en-US"/>
              </w:rPr>
              <w:t>tp://doi.org/10.17895/ices.pub.4680</w:t>
            </w:r>
          </w:p>
          <w:p w14:paraId="50BFE68D" w14:textId="173AF48C" w:rsidR="00223E34" w:rsidRPr="005F42D9" w:rsidRDefault="00223E34" w:rsidP="002F2131">
            <w:pPr>
              <w:spacing w:after="120" w:line="257" w:lineRule="auto"/>
              <w:rPr>
                <w:rFonts w:ascii="Calibri" w:eastAsia="Calibri" w:hAnsi="Calibri" w:cs="Times New Roman"/>
                <w:lang w:eastAsia="en-US"/>
              </w:rPr>
            </w:pPr>
            <w:r w:rsidRPr="00C60C26">
              <w:rPr>
                <w:rFonts w:ascii="Calibri" w:eastAsia="Calibri" w:hAnsi="Calibri" w:cs="Times New Roman"/>
                <w:lang w:val="it-IT" w:eastAsia="en-US"/>
              </w:rPr>
              <w:t>Garcia-de-Lomas, J., Dana, E.</w:t>
            </w:r>
            <w:r w:rsidR="00624B5D">
              <w:rPr>
                <w:rFonts w:ascii="Calibri" w:eastAsia="Calibri" w:hAnsi="Calibri" w:cs="Times New Roman"/>
                <w:lang w:val="it-IT" w:eastAsia="en-US"/>
              </w:rPr>
              <w:t xml:space="preserve"> </w:t>
            </w:r>
            <w:r w:rsidRPr="00C60C26">
              <w:rPr>
                <w:rFonts w:ascii="Calibri" w:eastAsia="Calibri" w:hAnsi="Calibri" w:cs="Times New Roman"/>
                <w:lang w:val="it-IT" w:eastAsia="en-US"/>
              </w:rPr>
              <w:t xml:space="preserve">D., López-Santiago, J., González, R., Ceballos, G., &amp; Ortega, F. (2010). </w:t>
            </w:r>
            <w:r w:rsidRPr="00C60C26">
              <w:rPr>
                <w:rFonts w:ascii="Calibri" w:eastAsia="Calibri" w:hAnsi="Calibri" w:cs="Times New Roman"/>
                <w:lang w:eastAsia="en-US"/>
              </w:rPr>
              <w:t xml:space="preserve">Management of the Chinese mitten crab, </w:t>
            </w:r>
            <w:proofErr w:type="spellStart"/>
            <w:r w:rsidRPr="00C60C26">
              <w:rPr>
                <w:rFonts w:ascii="Calibri" w:eastAsia="Calibri" w:hAnsi="Calibri" w:cs="Times New Roman"/>
                <w:i/>
                <w:iCs/>
                <w:lang w:eastAsia="en-US"/>
              </w:rPr>
              <w:t>Eriocheir</w:t>
            </w:r>
            <w:proofErr w:type="spellEnd"/>
            <w:r w:rsidRPr="00C60C26">
              <w:rPr>
                <w:rFonts w:ascii="Calibri" w:eastAsia="Calibri" w:hAnsi="Calibri" w:cs="Times New Roman"/>
                <w:i/>
                <w:iCs/>
                <w:lang w:eastAsia="en-US"/>
              </w:rPr>
              <w:t xml:space="preserve"> sinensis</w:t>
            </w:r>
            <w:r w:rsidRPr="00C60C26">
              <w:rPr>
                <w:rFonts w:ascii="Calibri" w:eastAsia="Calibri" w:hAnsi="Calibri" w:cs="Times New Roman"/>
                <w:lang w:eastAsia="en-US"/>
              </w:rPr>
              <w:t xml:space="preserve"> (H. Milne Edwards, 1853) in the Guadalquivir Estuary (Southern Spain). </w:t>
            </w:r>
            <w:r w:rsidRPr="005F42D9">
              <w:rPr>
                <w:rFonts w:ascii="Calibri" w:eastAsia="Calibri" w:hAnsi="Calibri" w:cs="Times New Roman"/>
                <w:i/>
                <w:iCs/>
                <w:lang w:eastAsia="en-US"/>
              </w:rPr>
              <w:t>Aquatic Invasions</w:t>
            </w:r>
            <w:r w:rsidRPr="005F42D9">
              <w:rPr>
                <w:rFonts w:ascii="Calibri" w:eastAsia="Calibri" w:hAnsi="Calibri" w:cs="Times New Roman"/>
                <w:lang w:eastAsia="en-US"/>
              </w:rPr>
              <w:t>, 5(3), 323-330</w:t>
            </w:r>
            <w:r w:rsidR="00624B5D" w:rsidRPr="005F42D9">
              <w:rPr>
                <w:rFonts w:ascii="Calibri" w:eastAsia="Calibri" w:hAnsi="Calibri" w:cs="Times New Roman"/>
                <w:lang w:eastAsia="en-US"/>
              </w:rPr>
              <w:t>.</w:t>
            </w:r>
            <w:r w:rsidRPr="005F42D9">
              <w:rPr>
                <w:rFonts w:ascii="Calibri" w:eastAsia="Calibri" w:hAnsi="Calibri" w:cs="Times New Roman"/>
                <w:lang w:eastAsia="en-US"/>
              </w:rPr>
              <w:t xml:space="preserve"> </w:t>
            </w:r>
          </w:p>
          <w:p w14:paraId="2545FCDD" w14:textId="77777777" w:rsidR="00D60789" w:rsidRPr="00C60C26" w:rsidRDefault="00D60789" w:rsidP="00D60789">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GBNN RA (2011). Risk assessment on </w:t>
            </w:r>
            <w:proofErr w:type="spellStart"/>
            <w:r w:rsidRPr="00C60C26">
              <w:rPr>
                <w:rFonts w:ascii="Calibri" w:eastAsia="Calibri" w:hAnsi="Calibri" w:cs="Times New Roman"/>
                <w:i/>
                <w:lang w:eastAsia="en-US"/>
              </w:rPr>
              <w:t>Eriocheir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xml:space="preserve"> - Chinese Mitten Crab.</w:t>
            </w:r>
          </w:p>
          <w:p w14:paraId="190595C9" w14:textId="1E69E348"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val="it-IT" w:eastAsia="en-US"/>
              </w:rPr>
              <w:t xml:space="preserve">Gherardi, F., Aquiloni, L., Diéguez-Uribeondo, J., &amp; Tricarico, E. (2011). </w:t>
            </w:r>
            <w:r w:rsidRPr="00C60C26">
              <w:rPr>
                <w:rFonts w:ascii="Calibri" w:eastAsia="Calibri" w:hAnsi="Calibri" w:cs="Times New Roman"/>
                <w:lang w:eastAsia="en-US"/>
              </w:rPr>
              <w:t>Managing invasive crayfish: is there any hope</w:t>
            </w:r>
            <w:r w:rsidRPr="00C60C26">
              <w:rPr>
                <w:rFonts w:ascii="Calibri" w:eastAsia="Calibri" w:hAnsi="Calibri" w:cs="Times New Roman"/>
                <w:i/>
                <w:lang w:eastAsia="en-US"/>
              </w:rPr>
              <w:t>? Aquatic Sciences</w:t>
            </w:r>
            <w:r w:rsidRPr="00C60C26">
              <w:rPr>
                <w:rFonts w:ascii="Calibri" w:eastAsia="Calibri" w:hAnsi="Calibri" w:cs="Times New Roman"/>
                <w:lang w:eastAsia="en-US"/>
              </w:rPr>
              <w:t>, 73, 185-200</w:t>
            </w:r>
            <w:r w:rsidR="00624B5D">
              <w:rPr>
                <w:rFonts w:ascii="Calibri" w:eastAsia="Calibri" w:hAnsi="Calibri" w:cs="Times New Roman"/>
                <w:lang w:eastAsia="en-US"/>
              </w:rPr>
              <w:t>.</w:t>
            </w:r>
            <w:r w:rsidRPr="00C60C26">
              <w:rPr>
                <w:rFonts w:ascii="Calibri" w:eastAsia="Calibri" w:hAnsi="Calibri" w:cs="Times New Roman"/>
                <w:lang w:eastAsia="en-US"/>
              </w:rPr>
              <w:t xml:space="preserve"> </w:t>
            </w:r>
          </w:p>
          <w:p w14:paraId="5EA8C6E5" w14:textId="0FDCFEFA" w:rsidR="00D60789" w:rsidRPr="00C60C26" w:rsidRDefault="0089265B" w:rsidP="00D60789">
            <w:pPr>
              <w:spacing w:after="120" w:line="257" w:lineRule="auto"/>
            </w:pPr>
            <w:proofErr w:type="spellStart"/>
            <w:r w:rsidRPr="00C60C26">
              <w:t>Giovos</w:t>
            </w:r>
            <w:proofErr w:type="spellEnd"/>
            <w:r w:rsidRPr="00C60C26">
              <w:t xml:space="preserve">, I., </w:t>
            </w:r>
            <w:proofErr w:type="spellStart"/>
            <w:r w:rsidRPr="00C60C26">
              <w:t>Kleitou</w:t>
            </w:r>
            <w:proofErr w:type="spellEnd"/>
            <w:r w:rsidRPr="00C60C26">
              <w:t xml:space="preserve">, P., </w:t>
            </w:r>
            <w:proofErr w:type="spellStart"/>
            <w:r w:rsidRPr="00C60C26">
              <w:t>Paravas</w:t>
            </w:r>
            <w:proofErr w:type="spellEnd"/>
            <w:r w:rsidRPr="00C60C26">
              <w:t xml:space="preserve">, V., Marmara, D., </w:t>
            </w:r>
            <w:proofErr w:type="spellStart"/>
            <w:r w:rsidRPr="00C60C26">
              <w:t>Romanidis-Kyriakidis</w:t>
            </w:r>
            <w:proofErr w:type="spellEnd"/>
            <w:r w:rsidRPr="00C60C26">
              <w:t xml:space="preserve">, G., &amp; </w:t>
            </w:r>
            <w:proofErr w:type="spellStart"/>
            <w:r w:rsidRPr="00C60C26">
              <w:t>Poursanidis</w:t>
            </w:r>
            <w:proofErr w:type="spellEnd"/>
            <w:r w:rsidRPr="00C60C26">
              <w:t xml:space="preserve">, D. (2018). Citizen scientists monitoring the establishment and expansion of </w:t>
            </w:r>
            <w:r w:rsidRPr="00C60C26">
              <w:rPr>
                <w:i/>
                <w:iCs/>
              </w:rPr>
              <w:t>Pterois miles</w:t>
            </w:r>
            <w:r w:rsidRPr="00C60C26">
              <w:t xml:space="preserve"> (Bennett, 1828) in the Aegean Sea, Greece</w:t>
            </w:r>
            <w:r w:rsidR="006F7F8A" w:rsidRPr="00C60C26">
              <w:t>.</w:t>
            </w:r>
            <w:r w:rsidRPr="00C60C26">
              <w:t xml:space="preserve"> </w:t>
            </w:r>
            <w:r w:rsidRPr="00C60C26">
              <w:rPr>
                <w:i/>
                <w:iCs/>
              </w:rPr>
              <w:t xml:space="preserve">Cahiers de </w:t>
            </w:r>
            <w:proofErr w:type="spellStart"/>
            <w:r w:rsidRPr="00C60C26">
              <w:rPr>
                <w:i/>
                <w:iCs/>
              </w:rPr>
              <w:t>Biologie</w:t>
            </w:r>
            <w:proofErr w:type="spellEnd"/>
            <w:r w:rsidRPr="00C60C26">
              <w:rPr>
                <w:i/>
                <w:iCs/>
              </w:rPr>
              <w:t xml:space="preserve"> Marine</w:t>
            </w:r>
            <w:r w:rsidR="00D60789" w:rsidRPr="00C60C26">
              <w:t>, 59</w:t>
            </w:r>
            <w:r w:rsidR="00624B5D">
              <w:t>(4)</w:t>
            </w:r>
            <w:r w:rsidR="00D60789" w:rsidRPr="00C60C26">
              <w:t>.</w:t>
            </w:r>
          </w:p>
          <w:p w14:paraId="196E8C88" w14:textId="73F4E3F7" w:rsidR="00C4569F"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Gollasch</w:t>
            </w:r>
            <w:proofErr w:type="spellEnd"/>
            <w:r w:rsidRPr="00C60C26">
              <w:rPr>
                <w:rFonts w:ascii="Calibri" w:eastAsia="Calibri" w:hAnsi="Calibri" w:cs="Times New Roman"/>
                <w:lang w:eastAsia="en-US"/>
              </w:rPr>
              <w:t xml:space="preserve">, S. (2011). NOBANIS – Invasive Alien Species Fact Sheet – </w:t>
            </w:r>
            <w:proofErr w:type="spellStart"/>
            <w:r w:rsidRPr="00C60C26">
              <w:rPr>
                <w:rFonts w:ascii="Calibri" w:eastAsia="Calibri" w:hAnsi="Calibri" w:cs="Times New Roman"/>
                <w:i/>
                <w:lang w:eastAsia="en-US"/>
              </w:rPr>
              <w:t>Eriocheir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 From: Online Database of the European Network on Invasive Alien Species – NOBANIS</w:t>
            </w:r>
            <w:r w:rsidR="00624B5D">
              <w:rPr>
                <w:rFonts w:ascii="Calibri" w:eastAsia="Calibri" w:hAnsi="Calibri" w:cs="Times New Roman"/>
                <w:lang w:eastAsia="en-US"/>
              </w:rPr>
              <w:t>,</w:t>
            </w:r>
            <w:r w:rsidRPr="00C60C26">
              <w:rPr>
                <w:rFonts w:ascii="Calibri" w:eastAsia="Calibri" w:hAnsi="Calibri" w:cs="Times New Roman"/>
                <w:lang w:eastAsia="en-US"/>
              </w:rPr>
              <w:t xml:space="preserve"> www.nobanis.org, Date of access 29/04/2019.</w:t>
            </w:r>
          </w:p>
          <w:p w14:paraId="14DA7671" w14:textId="732331F8" w:rsidR="00876A2C" w:rsidRPr="00C60C26" w:rsidRDefault="00876A2C" w:rsidP="002F2131">
            <w:pPr>
              <w:spacing w:after="120" w:line="257" w:lineRule="auto"/>
              <w:rPr>
                <w:rFonts w:ascii="Calibri" w:eastAsia="Calibri" w:hAnsi="Calibri" w:cs="Times New Roman"/>
                <w:lang w:eastAsia="en-US"/>
              </w:rPr>
            </w:pPr>
            <w:proofErr w:type="spellStart"/>
            <w:r w:rsidRPr="00876A2C">
              <w:rPr>
                <w:rFonts w:ascii="Calibri" w:eastAsia="Calibri" w:hAnsi="Calibri" w:cs="Times New Roman"/>
                <w:lang w:eastAsia="en-US"/>
              </w:rPr>
              <w:t>Hearin</w:t>
            </w:r>
            <w:proofErr w:type="spellEnd"/>
            <w:r w:rsidRPr="00876A2C">
              <w:rPr>
                <w:rFonts w:ascii="Calibri" w:eastAsia="Calibri" w:hAnsi="Calibri" w:cs="Times New Roman"/>
                <w:lang w:eastAsia="en-US"/>
              </w:rPr>
              <w:t xml:space="preserve">, J., </w:t>
            </w:r>
            <w:proofErr w:type="spellStart"/>
            <w:r w:rsidRPr="00876A2C">
              <w:rPr>
                <w:rFonts w:ascii="Calibri" w:eastAsia="Calibri" w:hAnsi="Calibri" w:cs="Times New Roman"/>
                <w:lang w:eastAsia="en-US"/>
              </w:rPr>
              <w:t>Hunsucker</w:t>
            </w:r>
            <w:proofErr w:type="spellEnd"/>
            <w:r w:rsidRPr="00876A2C">
              <w:rPr>
                <w:rFonts w:ascii="Calibri" w:eastAsia="Calibri" w:hAnsi="Calibri" w:cs="Times New Roman"/>
                <w:lang w:eastAsia="en-US"/>
              </w:rPr>
              <w:t xml:space="preserve">, K. Z., Swain, G., Gardner, H., Stephens, A., </w:t>
            </w:r>
            <w:r>
              <w:rPr>
                <w:rFonts w:ascii="Calibri" w:eastAsia="Calibri" w:hAnsi="Calibri" w:cs="Times New Roman"/>
                <w:lang w:eastAsia="en-US"/>
              </w:rPr>
              <w:t>&amp;</w:t>
            </w:r>
            <w:r w:rsidRPr="00876A2C">
              <w:rPr>
                <w:rFonts w:ascii="Calibri" w:eastAsia="Calibri" w:hAnsi="Calibri" w:cs="Times New Roman"/>
                <w:lang w:eastAsia="en-US"/>
              </w:rPr>
              <w:t xml:space="preserve"> Lieberman, K.</w:t>
            </w:r>
            <w:r>
              <w:rPr>
                <w:rFonts w:ascii="Calibri" w:eastAsia="Calibri" w:hAnsi="Calibri" w:cs="Times New Roman"/>
                <w:lang w:eastAsia="en-US"/>
              </w:rPr>
              <w:t xml:space="preserve"> (2016).</w:t>
            </w:r>
            <w:r w:rsidRPr="00876A2C">
              <w:rPr>
                <w:rFonts w:ascii="Calibri" w:eastAsia="Calibri" w:hAnsi="Calibri" w:cs="Times New Roman"/>
                <w:lang w:eastAsia="en-US"/>
              </w:rPr>
              <w:t xml:space="preserve"> Analysis of mechanical grooming at various frequencies on a large scale test panel coated with a fouling</w:t>
            </w:r>
            <w:r>
              <w:rPr>
                <w:rFonts w:ascii="Calibri" w:eastAsia="Calibri" w:hAnsi="Calibri" w:cs="Times New Roman"/>
                <w:lang w:eastAsia="en-US"/>
              </w:rPr>
              <w:t xml:space="preserve"> </w:t>
            </w:r>
            <w:r w:rsidRPr="00876A2C">
              <w:rPr>
                <w:rFonts w:ascii="Calibri" w:eastAsia="Calibri" w:hAnsi="Calibri" w:cs="Times New Roman"/>
                <w:lang w:eastAsia="en-US"/>
              </w:rPr>
              <w:t>release coating</w:t>
            </w:r>
            <w:r>
              <w:rPr>
                <w:rFonts w:ascii="Calibri" w:eastAsia="Calibri" w:hAnsi="Calibri" w:cs="Times New Roman"/>
                <w:lang w:eastAsia="en-US"/>
              </w:rPr>
              <w:t>.</w:t>
            </w:r>
            <w:r w:rsidRPr="00876A2C">
              <w:rPr>
                <w:rFonts w:ascii="Calibri" w:eastAsia="Calibri" w:hAnsi="Calibri" w:cs="Times New Roman"/>
                <w:lang w:eastAsia="en-US"/>
              </w:rPr>
              <w:t xml:space="preserve"> </w:t>
            </w:r>
            <w:r w:rsidRPr="009D2758">
              <w:rPr>
                <w:rFonts w:ascii="Calibri" w:eastAsia="Calibri" w:hAnsi="Calibri" w:cs="Times New Roman"/>
                <w:i/>
                <w:iCs/>
                <w:lang w:eastAsia="en-US"/>
              </w:rPr>
              <w:t>Biofouling</w:t>
            </w:r>
            <w:r w:rsidRPr="00876A2C">
              <w:rPr>
                <w:rFonts w:ascii="Calibri" w:eastAsia="Calibri" w:hAnsi="Calibri" w:cs="Times New Roman"/>
                <w:lang w:eastAsia="en-US"/>
              </w:rPr>
              <w:t>, 32, 561</w:t>
            </w:r>
            <w:r>
              <w:rPr>
                <w:rFonts w:ascii="Calibri" w:eastAsia="Calibri" w:hAnsi="Calibri" w:cs="Times New Roman"/>
                <w:lang w:eastAsia="en-US"/>
              </w:rPr>
              <w:t>-</w:t>
            </w:r>
            <w:r w:rsidRPr="00876A2C">
              <w:rPr>
                <w:rFonts w:ascii="Calibri" w:eastAsia="Calibri" w:hAnsi="Calibri" w:cs="Times New Roman"/>
                <w:lang w:eastAsia="en-US"/>
              </w:rPr>
              <w:t>569</w:t>
            </w:r>
            <w:r>
              <w:rPr>
                <w:rFonts w:ascii="Calibri" w:eastAsia="Calibri" w:hAnsi="Calibri" w:cs="Times New Roman"/>
                <w:lang w:eastAsia="en-US"/>
              </w:rPr>
              <w:t>.</w:t>
            </w:r>
          </w:p>
          <w:p w14:paraId="0DFC8AA9" w14:textId="7166031E" w:rsidR="002A05AE"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Hymanson</w:t>
            </w:r>
            <w:proofErr w:type="spellEnd"/>
            <w:r w:rsidRPr="00C60C26">
              <w:rPr>
                <w:rFonts w:ascii="Calibri" w:eastAsia="Calibri" w:hAnsi="Calibri" w:cs="Times New Roman"/>
                <w:lang w:eastAsia="en-US"/>
              </w:rPr>
              <w:t xml:space="preserve">, Z., Wang J., &amp; Sasaki T. (1999). Lessons from the home of the Chinese Mitten Crab. </w:t>
            </w:r>
            <w:r w:rsidRPr="00C60C26">
              <w:rPr>
                <w:rFonts w:ascii="Calibri" w:eastAsia="Calibri" w:hAnsi="Calibri" w:cs="Times New Roman"/>
                <w:i/>
                <w:lang w:eastAsia="en-US"/>
              </w:rPr>
              <w:t>Interagency Ecological Program Newsletter (California Department of Water Resources, Sacramento, CA)</w:t>
            </w:r>
            <w:r w:rsidRPr="00C60C26">
              <w:rPr>
                <w:rFonts w:ascii="Calibri" w:eastAsia="Calibri" w:hAnsi="Calibri" w:cs="Times New Roman"/>
                <w:lang w:eastAsia="en-US"/>
              </w:rPr>
              <w:t>, 12(3), 25-32</w:t>
            </w:r>
            <w:r w:rsidR="00624B5D">
              <w:rPr>
                <w:rFonts w:ascii="Calibri" w:eastAsia="Calibri" w:hAnsi="Calibri" w:cs="Times New Roman"/>
                <w:lang w:eastAsia="en-US"/>
              </w:rPr>
              <w:t>.</w:t>
            </w:r>
          </w:p>
          <w:p w14:paraId="6BBF9854" w14:textId="698BD70D" w:rsidR="00C4569F"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IMO (2017). BWM.2/Circ.13/Rev.4. Methodology for information gathering and conduct of work of the GESAMP-BWWG, 20 July 2017, pp. 99.</w:t>
            </w:r>
          </w:p>
          <w:p w14:paraId="34C602B0" w14:textId="0FA1B329" w:rsidR="002A05AE" w:rsidRPr="00C60C26" w:rsidRDefault="002A05AE" w:rsidP="002A05AE">
            <w:pPr>
              <w:spacing w:after="120" w:line="257" w:lineRule="auto"/>
              <w:rPr>
                <w:rFonts w:ascii="Calibri" w:eastAsia="Calibri" w:hAnsi="Calibri" w:cs="Times New Roman"/>
                <w:lang w:eastAsia="en-US"/>
              </w:rPr>
            </w:pPr>
            <w:r>
              <w:rPr>
                <w:rFonts w:ascii="Calibri" w:eastAsia="Calibri" w:hAnsi="Calibri" w:cs="Times New Roman"/>
                <w:lang w:eastAsia="en-US"/>
              </w:rPr>
              <w:t xml:space="preserve">INBO (2017). </w:t>
            </w:r>
            <w:proofErr w:type="spellStart"/>
            <w:r w:rsidRPr="002A05AE">
              <w:rPr>
                <w:rFonts w:ascii="Calibri" w:eastAsia="Calibri" w:hAnsi="Calibri" w:cs="Times New Roman"/>
                <w:lang w:eastAsia="en-US"/>
              </w:rPr>
              <w:t>Handleiding</w:t>
            </w:r>
            <w:proofErr w:type="spellEnd"/>
            <w:r>
              <w:rPr>
                <w:rFonts w:ascii="Calibri" w:eastAsia="Calibri" w:hAnsi="Calibri" w:cs="Times New Roman"/>
                <w:lang w:eastAsia="en-US"/>
              </w:rPr>
              <w:t xml:space="preserve"> </w:t>
            </w:r>
            <w:proofErr w:type="spellStart"/>
            <w:r w:rsidRPr="002A05AE">
              <w:rPr>
                <w:rFonts w:ascii="Calibri" w:eastAsia="Calibri" w:hAnsi="Calibri" w:cs="Times New Roman"/>
                <w:lang w:eastAsia="en-US"/>
              </w:rPr>
              <w:t>voor</w:t>
            </w:r>
            <w:proofErr w:type="spellEnd"/>
            <w:r w:rsidRPr="002A05AE">
              <w:rPr>
                <w:rFonts w:ascii="Calibri" w:eastAsia="Calibri" w:hAnsi="Calibri" w:cs="Times New Roman"/>
                <w:lang w:eastAsia="en-US"/>
              </w:rPr>
              <w:t xml:space="preserve"> </w:t>
            </w:r>
            <w:proofErr w:type="spellStart"/>
            <w:r w:rsidRPr="002A05AE">
              <w:rPr>
                <w:rFonts w:ascii="Calibri" w:eastAsia="Calibri" w:hAnsi="Calibri" w:cs="Times New Roman"/>
                <w:lang w:eastAsia="en-US"/>
              </w:rPr>
              <w:t>overlastbeheersing</w:t>
            </w:r>
            <w:proofErr w:type="spellEnd"/>
            <w:r w:rsidRPr="002A05AE">
              <w:rPr>
                <w:rFonts w:ascii="Calibri" w:eastAsia="Calibri" w:hAnsi="Calibri" w:cs="Times New Roman"/>
                <w:lang w:eastAsia="en-US"/>
              </w:rPr>
              <w:t xml:space="preserve"> van</w:t>
            </w:r>
            <w:r>
              <w:rPr>
                <w:rFonts w:ascii="Calibri" w:eastAsia="Calibri" w:hAnsi="Calibri" w:cs="Times New Roman"/>
                <w:lang w:eastAsia="en-US"/>
              </w:rPr>
              <w:t xml:space="preserve"> </w:t>
            </w:r>
            <w:r w:rsidRPr="002A05AE">
              <w:rPr>
                <w:rFonts w:ascii="Calibri" w:eastAsia="Calibri" w:hAnsi="Calibri" w:cs="Times New Roman"/>
                <w:lang w:eastAsia="en-US"/>
              </w:rPr>
              <w:t xml:space="preserve">Chinese </w:t>
            </w:r>
            <w:proofErr w:type="spellStart"/>
            <w:r w:rsidRPr="002A05AE">
              <w:rPr>
                <w:rFonts w:ascii="Calibri" w:eastAsia="Calibri" w:hAnsi="Calibri" w:cs="Times New Roman"/>
                <w:lang w:eastAsia="en-US"/>
              </w:rPr>
              <w:t>wolhandkrab</w:t>
            </w:r>
            <w:proofErr w:type="spellEnd"/>
            <w:r>
              <w:rPr>
                <w:rFonts w:ascii="Calibri" w:eastAsia="Calibri" w:hAnsi="Calibri" w:cs="Times New Roman"/>
                <w:lang w:eastAsia="en-US"/>
              </w:rPr>
              <w:t xml:space="preserve"> </w:t>
            </w:r>
            <w:r w:rsidRPr="002A05AE">
              <w:rPr>
                <w:rFonts w:ascii="Calibri" w:eastAsia="Calibri" w:hAnsi="Calibri" w:cs="Times New Roman"/>
                <w:lang w:eastAsia="en-US"/>
              </w:rPr>
              <w:t xml:space="preserve">in </w:t>
            </w:r>
            <w:proofErr w:type="spellStart"/>
            <w:r w:rsidRPr="002A05AE">
              <w:rPr>
                <w:rFonts w:ascii="Calibri" w:eastAsia="Calibri" w:hAnsi="Calibri" w:cs="Times New Roman"/>
                <w:lang w:eastAsia="en-US"/>
              </w:rPr>
              <w:t>Vlaanderen</w:t>
            </w:r>
            <w:proofErr w:type="spellEnd"/>
            <w:r>
              <w:rPr>
                <w:rFonts w:ascii="Calibri" w:eastAsia="Calibri" w:hAnsi="Calibri" w:cs="Times New Roman"/>
                <w:lang w:eastAsia="en-US"/>
              </w:rPr>
              <w:t>. Report, pp. 30.</w:t>
            </w:r>
          </w:p>
          <w:p w14:paraId="3043B0F9" w14:textId="6DF91A57"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Jerde</w:t>
            </w:r>
            <w:proofErr w:type="spellEnd"/>
            <w:r w:rsidRPr="00C60C26">
              <w:rPr>
                <w:rFonts w:ascii="Calibri" w:eastAsia="Calibri" w:hAnsi="Calibri" w:cs="Times New Roman"/>
                <w:lang w:eastAsia="en-US"/>
              </w:rPr>
              <w:t xml:space="preserve">, C. L., Mahon, A. R., Chadderton, W. L., &amp; Lodge, D. M. (2011). “Sight‐unseen” detection of rare aquatic species using environmental DNA. </w:t>
            </w:r>
            <w:r w:rsidRPr="00C60C26">
              <w:rPr>
                <w:rFonts w:ascii="Calibri" w:eastAsia="Calibri" w:hAnsi="Calibri" w:cs="Times New Roman"/>
                <w:i/>
                <w:lang w:eastAsia="en-US"/>
              </w:rPr>
              <w:t>Conservation Letters</w:t>
            </w:r>
            <w:r w:rsidRPr="00C60C26">
              <w:rPr>
                <w:rFonts w:ascii="Calibri" w:eastAsia="Calibri" w:hAnsi="Calibri" w:cs="Times New Roman"/>
                <w:lang w:eastAsia="en-US"/>
              </w:rPr>
              <w:t>, 4, 150-157</w:t>
            </w:r>
            <w:r w:rsidR="00624B5D">
              <w:rPr>
                <w:rFonts w:ascii="Calibri" w:eastAsia="Calibri" w:hAnsi="Calibri" w:cs="Times New Roman"/>
                <w:lang w:eastAsia="en-US"/>
              </w:rPr>
              <w:t>.</w:t>
            </w:r>
          </w:p>
          <w:p w14:paraId="2FE90E02" w14:textId="5C5DEDCB"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Kelly, J., &amp; Maguire, C. M. (2009). Chinese Mitten Crab (</w:t>
            </w:r>
            <w:proofErr w:type="spellStart"/>
            <w:r w:rsidRPr="00C60C26">
              <w:rPr>
                <w:rFonts w:ascii="Calibri" w:eastAsia="Calibri" w:hAnsi="Calibri" w:cs="Times New Roman"/>
                <w:i/>
                <w:lang w:eastAsia="en-US"/>
              </w:rPr>
              <w:t>Erocheir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Invasive Species Action Plan. Prepared for NIEA and NPWS as part of Invasive Species Ireland.</w:t>
            </w:r>
          </w:p>
          <w:p w14:paraId="1A78682E" w14:textId="3BE5923F" w:rsidR="00A10122" w:rsidRPr="00C4569F" w:rsidRDefault="00A10122" w:rsidP="002F2131">
            <w:pPr>
              <w:spacing w:after="120" w:line="257" w:lineRule="auto"/>
              <w:rPr>
                <w:rFonts w:ascii="Calibri" w:eastAsia="Calibri" w:hAnsi="Calibri" w:cs="Times New Roman"/>
                <w:lang w:eastAsia="en-US"/>
              </w:rPr>
            </w:pPr>
            <w:r w:rsidRPr="00C60C26">
              <w:rPr>
                <w:rFonts w:ascii="Calibri" w:eastAsia="Calibri" w:hAnsi="Calibri" w:cs="Times New Roman"/>
                <w:lang w:val="it-IT" w:eastAsia="en-US"/>
              </w:rPr>
              <w:t xml:space="preserve">Lioy, S., Laurino, D., Manino, A., &amp; Porporato, M. (2019). </w:t>
            </w:r>
            <w:r w:rsidRPr="00C60C26">
              <w:rPr>
                <w:rFonts w:ascii="Calibri" w:eastAsia="Calibri" w:hAnsi="Calibri" w:cs="Times New Roman"/>
                <w:lang w:eastAsia="en-US"/>
              </w:rPr>
              <w:t xml:space="preserve">The containment strategy for </w:t>
            </w:r>
            <w:r w:rsidRPr="00C60C26">
              <w:rPr>
                <w:rFonts w:ascii="Calibri" w:eastAsia="Calibri" w:hAnsi="Calibri" w:cs="Times New Roman"/>
                <w:i/>
                <w:lang w:eastAsia="en-US"/>
              </w:rPr>
              <w:t xml:space="preserve">Vespa </w:t>
            </w:r>
            <w:proofErr w:type="spellStart"/>
            <w:r w:rsidRPr="00C60C26">
              <w:rPr>
                <w:rFonts w:ascii="Calibri" w:eastAsia="Calibri" w:hAnsi="Calibri" w:cs="Times New Roman"/>
                <w:i/>
                <w:lang w:eastAsia="en-US"/>
              </w:rPr>
              <w:t>velutina</w:t>
            </w:r>
            <w:proofErr w:type="spellEnd"/>
            <w:r w:rsidRPr="00C60C26">
              <w:rPr>
                <w:rFonts w:ascii="Calibri" w:eastAsia="Calibri" w:hAnsi="Calibri" w:cs="Times New Roman"/>
                <w:lang w:eastAsia="en-US"/>
              </w:rPr>
              <w:t xml:space="preserve"> in Italy: an integrated approach. Proceedings of the International Conference Vespa </w:t>
            </w:r>
            <w:proofErr w:type="spellStart"/>
            <w:r w:rsidRPr="00C60C26">
              <w:rPr>
                <w:rFonts w:ascii="Calibri" w:eastAsia="Calibri" w:hAnsi="Calibri" w:cs="Times New Roman"/>
                <w:lang w:eastAsia="en-US"/>
              </w:rPr>
              <w:t>velutina</w:t>
            </w:r>
            <w:proofErr w:type="spellEnd"/>
            <w:r w:rsidRPr="00C60C26">
              <w:rPr>
                <w:rFonts w:ascii="Calibri" w:eastAsia="Calibri" w:hAnsi="Calibri" w:cs="Times New Roman"/>
                <w:lang w:eastAsia="en-US"/>
              </w:rPr>
              <w:t xml:space="preserve"> and other invasive invertebrate species, 22-23 March 2019, Turin, Italy, 17-18.</w:t>
            </w:r>
          </w:p>
          <w:p w14:paraId="1ACB3C7E" w14:textId="4D1E435D"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McEnnulty</w:t>
            </w:r>
            <w:proofErr w:type="spellEnd"/>
            <w:r w:rsidRPr="00C60C26">
              <w:rPr>
                <w:rFonts w:ascii="Calibri" w:eastAsia="Calibri" w:hAnsi="Calibri" w:cs="Times New Roman"/>
                <w:lang w:eastAsia="en-US"/>
              </w:rPr>
              <w:t xml:space="preserve">, F. R., </w:t>
            </w:r>
            <w:proofErr w:type="spellStart"/>
            <w:r w:rsidRPr="00C60C26">
              <w:rPr>
                <w:rFonts w:ascii="Calibri" w:eastAsia="Calibri" w:hAnsi="Calibri" w:cs="Times New Roman"/>
                <w:lang w:eastAsia="en-US"/>
              </w:rPr>
              <w:t>Bax</w:t>
            </w:r>
            <w:proofErr w:type="spellEnd"/>
            <w:r w:rsidRPr="00C60C26">
              <w:rPr>
                <w:rFonts w:ascii="Calibri" w:eastAsia="Calibri" w:hAnsi="Calibri" w:cs="Times New Roman"/>
                <w:lang w:eastAsia="en-US"/>
              </w:rPr>
              <w:t xml:space="preserve">, N. J., </w:t>
            </w:r>
            <w:proofErr w:type="spellStart"/>
            <w:r w:rsidRPr="00C60C26">
              <w:rPr>
                <w:rFonts w:ascii="Calibri" w:eastAsia="Calibri" w:hAnsi="Calibri" w:cs="Times New Roman"/>
                <w:lang w:eastAsia="en-US"/>
              </w:rPr>
              <w:t>Schaffelke</w:t>
            </w:r>
            <w:proofErr w:type="spellEnd"/>
            <w:r w:rsidRPr="00C60C26">
              <w:rPr>
                <w:rFonts w:ascii="Calibri" w:eastAsia="Calibri" w:hAnsi="Calibri" w:cs="Times New Roman"/>
                <w:lang w:eastAsia="en-US"/>
              </w:rPr>
              <w:t>, B., &amp; Campbell M. L. (2001). A review of rapid response options for the control of ABWMAC listed introduced marine pest species and related taxa in Australian waters. Centre for Research on Introduced Marine Pests Technical Report 23. CSIRO Marine Research, Hobart, Australia</w:t>
            </w:r>
            <w:r w:rsidR="00624B5D">
              <w:rPr>
                <w:rFonts w:ascii="Calibri" w:eastAsia="Calibri" w:hAnsi="Calibri" w:cs="Times New Roman"/>
                <w:lang w:eastAsia="en-US"/>
              </w:rPr>
              <w:t>.</w:t>
            </w:r>
          </w:p>
          <w:p w14:paraId="01DC787B" w14:textId="0E2E5EF8"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lastRenderedPageBreak/>
              <w:t xml:space="preserve">McLaughlin, P. A. (1982). Comparative morphology of crustacean appendages. In: The Biology of Crustacea; Volume 2: Embryology, Morphology and Genetics, </w:t>
            </w:r>
            <w:proofErr w:type="spellStart"/>
            <w:r w:rsidRPr="00C60C26">
              <w:rPr>
                <w:rFonts w:ascii="Calibri" w:eastAsia="Calibri" w:hAnsi="Calibri" w:cs="Times New Roman"/>
                <w:lang w:eastAsia="en-US"/>
              </w:rPr>
              <w:t>Aberle</w:t>
            </w:r>
            <w:proofErr w:type="spellEnd"/>
            <w:r w:rsidRPr="00C60C26">
              <w:rPr>
                <w:rFonts w:ascii="Calibri" w:eastAsia="Calibri" w:hAnsi="Calibri" w:cs="Times New Roman"/>
                <w:lang w:eastAsia="en-US"/>
              </w:rPr>
              <w:t>, L. G. (ed</w:t>
            </w:r>
            <w:r w:rsidR="00624B5D">
              <w:rPr>
                <w:rFonts w:ascii="Calibri" w:eastAsia="Calibri" w:hAnsi="Calibri" w:cs="Times New Roman"/>
                <w:lang w:eastAsia="en-US"/>
              </w:rPr>
              <w:t>.), Academic Press, Orlando, FL</w:t>
            </w:r>
            <w:r w:rsidRPr="00C60C26">
              <w:rPr>
                <w:rFonts w:ascii="Calibri" w:eastAsia="Calibri" w:hAnsi="Calibri" w:cs="Times New Roman"/>
                <w:lang w:eastAsia="en-US"/>
              </w:rPr>
              <w:t>, pp. 197-256</w:t>
            </w:r>
            <w:r w:rsidR="00624B5D">
              <w:rPr>
                <w:rFonts w:ascii="Calibri" w:eastAsia="Calibri" w:hAnsi="Calibri" w:cs="Times New Roman"/>
                <w:lang w:eastAsia="en-US"/>
              </w:rPr>
              <w:t>.</w:t>
            </w:r>
          </w:p>
          <w:p w14:paraId="631E8169" w14:textId="7FD2EDF9" w:rsidR="00C770DE" w:rsidRPr="00C60C26" w:rsidRDefault="00C770DE" w:rsidP="002F2131">
            <w:pPr>
              <w:spacing w:after="120" w:line="257" w:lineRule="auto"/>
              <w:rPr>
                <w:rFonts w:ascii="Calibri" w:eastAsia="Calibri" w:hAnsi="Calibri" w:cs="Times New Roman"/>
                <w:lang w:eastAsia="en-US"/>
              </w:rPr>
            </w:pPr>
            <w:r w:rsidRPr="00C60C26">
              <w:rPr>
                <w:rFonts w:ascii="Calibri" w:eastAsia="Calibri" w:hAnsi="Calibri" w:cs="Times New Roman"/>
                <w:lang w:val="it-IT" w:eastAsia="en-US"/>
              </w:rPr>
              <w:t>Miyazaki</w:t>
            </w:r>
            <w:r w:rsidR="004A1BD4" w:rsidRPr="00C60C26">
              <w:rPr>
                <w:rFonts w:ascii="Calibri" w:eastAsia="Calibri" w:hAnsi="Calibri" w:cs="Times New Roman"/>
                <w:lang w:val="it-IT" w:eastAsia="en-US"/>
              </w:rPr>
              <w:t>, Y., Teramura, A., &amp; Senou H. (</w:t>
            </w:r>
            <w:r w:rsidRPr="00C60C26">
              <w:rPr>
                <w:rFonts w:ascii="Calibri" w:eastAsia="Calibri" w:hAnsi="Calibri" w:cs="Times New Roman"/>
                <w:lang w:val="it-IT" w:eastAsia="en-US"/>
              </w:rPr>
              <w:t>201</w:t>
            </w:r>
            <w:r w:rsidR="00FF7BAF" w:rsidRPr="00C60C26">
              <w:rPr>
                <w:rFonts w:ascii="Calibri" w:eastAsia="Calibri" w:hAnsi="Calibri" w:cs="Times New Roman"/>
                <w:lang w:val="it-IT" w:eastAsia="en-US"/>
              </w:rPr>
              <w:t>6</w:t>
            </w:r>
            <w:r w:rsidR="004A1BD4" w:rsidRPr="00C60C26">
              <w:rPr>
                <w:rFonts w:ascii="Calibri" w:eastAsia="Calibri" w:hAnsi="Calibri" w:cs="Times New Roman"/>
                <w:lang w:val="it-IT" w:eastAsia="en-US"/>
              </w:rPr>
              <w:t xml:space="preserve">). </w:t>
            </w:r>
            <w:r w:rsidR="002558D1" w:rsidRPr="00C60C26">
              <w:rPr>
                <w:rFonts w:ascii="Calibri" w:eastAsia="Calibri" w:hAnsi="Calibri" w:cs="Times New Roman"/>
                <w:lang w:eastAsia="en-US"/>
              </w:rPr>
              <w:t xml:space="preserve">Biodiversity data mining from Argus-eyed citizens: the first illegal introduction record of </w:t>
            </w:r>
            <w:r w:rsidR="002558D1" w:rsidRPr="00C60C26">
              <w:rPr>
                <w:rFonts w:ascii="Calibri" w:eastAsia="Calibri" w:hAnsi="Calibri" w:cs="Times New Roman"/>
                <w:i/>
                <w:iCs/>
                <w:lang w:eastAsia="en-US"/>
              </w:rPr>
              <w:t xml:space="preserve">Lepomis macrochirus </w:t>
            </w:r>
            <w:proofErr w:type="spellStart"/>
            <w:r w:rsidR="002558D1" w:rsidRPr="00C60C26">
              <w:rPr>
                <w:rFonts w:ascii="Calibri" w:eastAsia="Calibri" w:hAnsi="Calibri" w:cs="Times New Roman"/>
                <w:i/>
                <w:iCs/>
                <w:lang w:eastAsia="en-US"/>
              </w:rPr>
              <w:t>macrochirus</w:t>
            </w:r>
            <w:proofErr w:type="spellEnd"/>
            <w:r w:rsidR="002558D1" w:rsidRPr="00C60C26">
              <w:rPr>
                <w:rFonts w:ascii="Calibri" w:eastAsia="Calibri" w:hAnsi="Calibri" w:cs="Times New Roman"/>
                <w:lang w:eastAsia="en-US"/>
              </w:rPr>
              <w:t xml:space="preserve"> Rafinesque, 1819 in Japan based on Twitter information. </w:t>
            </w:r>
            <w:proofErr w:type="spellStart"/>
            <w:r w:rsidR="00FF7BAF" w:rsidRPr="00C60C26">
              <w:rPr>
                <w:rFonts w:ascii="Calibri" w:eastAsia="Calibri" w:hAnsi="Calibri" w:cs="Times New Roman"/>
                <w:i/>
                <w:iCs/>
                <w:lang w:eastAsia="en-US"/>
              </w:rPr>
              <w:t>Zookeys</w:t>
            </w:r>
            <w:proofErr w:type="spellEnd"/>
            <w:r w:rsidR="00FF7BAF" w:rsidRPr="00C60C26">
              <w:rPr>
                <w:rFonts w:ascii="Calibri" w:eastAsia="Calibri" w:hAnsi="Calibri" w:cs="Times New Roman"/>
                <w:lang w:eastAsia="en-US"/>
              </w:rPr>
              <w:t>, 569, 123</w:t>
            </w:r>
            <w:r w:rsidR="009E7C76" w:rsidRPr="00C60C26">
              <w:rPr>
                <w:rFonts w:ascii="Calibri" w:eastAsia="Calibri" w:hAnsi="Calibri" w:cs="Times New Roman"/>
                <w:lang w:eastAsia="en-US"/>
              </w:rPr>
              <w:t>-</w:t>
            </w:r>
            <w:r w:rsidR="00FF7BAF" w:rsidRPr="00C60C26">
              <w:rPr>
                <w:rFonts w:ascii="Calibri" w:eastAsia="Calibri" w:hAnsi="Calibri" w:cs="Times New Roman"/>
                <w:lang w:eastAsia="en-US"/>
              </w:rPr>
              <w:t>133</w:t>
            </w:r>
            <w:r w:rsidR="00624B5D">
              <w:rPr>
                <w:rFonts w:ascii="Calibri" w:eastAsia="Calibri" w:hAnsi="Calibri" w:cs="Times New Roman"/>
                <w:lang w:eastAsia="en-US"/>
              </w:rPr>
              <w:t>.</w:t>
            </w:r>
          </w:p>
          <w:p w14:paraId="0206BDD6" w14:textId="48C0887F"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Molina, V., &amp; Drake, L. A. (2016)</w:t>
            </w:r>
            <w:r w:rsidR="00FA0A42" w:rsidRPr="00C60C26">
              <w:rPr>
                <w:rFonts w:ascii="Calibri" w:eastAsia="Calibri" w:hAnsi="Calibri" w:cs="Times New Roman"/>
                <w:lang w:eastAsia="en-US"/>
              </w:rPr>
              <w:t>.</w:t>
            </w:r>
            <w:r w:rsidRPr="00C60C26">
              <w:rPr>
                <w:rFonts w:ascii="Calibri" w:eastAsia="Calibri" w:hAnsi="Calibri" w:cs="Times New Roman"/>
                <w:lang w:eastAsia="en-US"/>
              </w:rPr>
              <w:t xml:space="preserve"> Efficacy of open-ocean ballast water exchange: a review. </w:t>
            </w:r>
            <w:r w:rsidRPr="00C60C26">
              <w:rPr>
                <w:rFonts w:ascii="Calibri" w:eastAsia="Calibri" w:hAnsi="Calibri" w:cs="Times New Roman"/>
                <w:i/>
                <w:lang w:eastAsia="en-US"/>
              </w:rPr>
              <w:t>Management of Biological Invasions</w:t>
            </w:r>
            <w:r w:rsidRPr="00C60C26">
              <w:rPr>
                <w:rFonts w:ascii="Calibri" w:eastAsia="Calibri" w:hAnsi="Calibri" w:cs="Times New Roman"/>
                <w:lang w:eastAsia="en-US"/>
              </w:rPr>
              <w:t>, 7, 375-388</w:t>
            </w:r>
            <w:r w:rsidR="00624B5D">
              <w:rPr>
                <w:rFonts w:ascii="Calibri" w:eastAsia="Calibri" w:hAnsi="Calibri" w:cs="Times New Roman"/>
                <w:lang w:eastAsia="en-US"/>
              </w:rPr>
              <w:t>.</w:t>
            </w:r>
          </w:p>
          <w:p w14:paraId="57AD623B" w14:textId="69D0E201"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Ojaveer</w:t>
            </w:r>
            <w:proofErr w:type="spellEnd"/>
            <w:r w:rsidRPr="00C60C26">
              <w:rPr>
                <w:rFonts w:ascii="Calibri" w:eastAsia="Calibri" w:hAnsi="Calibri" w:cs="Times New Roman"/>
                <w:lang w:eastAsia="en-US"/>
              </w:rPr>
              <w:t xml:space="preserve">, H., </w:t>
            </w:r>
            <w:proofErr w:type="spellStart"/>
            <w:r w:rsidRPr="00C60C26">
              <w:rPr>
                <w:rFonts w:ascii="Calibri" w:eastAsia="Calibri" w:hAnsi="Calibri" w:cs="Times New Roman"/>
                <w:lang w:eastAsia="en-US"/>
              </w:rPr>
              <w:t>Gollasch</w:t>
            </w:r>
            <w:proofErr w:type="spellEnd"/>
            <w:r w:rsidRPr="00C60C26">
              <w:rPr>
                <w:rFonts w:ascii="Calibri" w:eastAsia="Calibri" w:hAnsi="Calibri" w:cs="Times New Roman"/>
                <w:lang w:eastAsia="en-US"/>
              </w:rPr>
              <w:t xml:space="preserve">, S., </w:t>
            </w:r>
            <w:proofErr w:type="spellStart"/>
            <w:r w:rsidRPr="00C60C26">
              <w:rPr>
                <w:rFonts w:ascii="Calibri" w:eastAsia="Calibri" w:hAnsi="Calibri" w:cs="Times New Roman"/>
                <w:lang w:eastAsia="en-US"/>
              </w:rPr>
              <w:t>Jaanus</w:t>
            </w:r>
            <w:proofErr w:type="spellEnd"/>
            <w:r w:rsidRPr="00C60C26">
              <w:rPr>
                <w:rFonts w:ascii="Calibri" w:eastAsia="Calibri" w:hAnsi="Calibri" w:cs="Times New Roman"/>
                <w:lang w:eastAsia="en-US"/>
              </w:rPr>
              <w:t xml:space="preserve">, A., Kotta, J., Laine, A., </w:t>
            </w:r>
            <w:proofErr w:type="spellStart"/>
            <w:r w:rsidRPr="00C60C26">
              <w:rPr>
                <w:rFonts w:ascii="Calibri" w:eastAsia="Calibri" w:hAnsi="Calibri" w:cs="Times New Roman"/>
                <w:lang w:eastAsia="en-US"/>
              </w:rPr>
              <w:t>Minde</w:t>
            </w:r>
            <w:proofErr w:type="spellEnd"/>
            <w:r w:rsidRPr="00C60C26">
              <w:rPr>
                <w:rFonts w:ascii="Calibri" w:eastAsia="Calibri" w:hAnsi="Calibri" w:cs="Times New Roman"/>
                <w:lang w:eastAsia="en-US"/>
              </w:rPr>
              <w:t xml:space="preserve">, A., </w:t>
            </w:r>
            <w:proofErr w:type="spellStart"/>
            <w:r w:rsidRPr="00C60C26">
              <w:rPr>
                <w:rFonts w:ascii="Calibri" w:eastAsia="Calibri" w:hAnsi="Calibri" w:cs="Times New Roman"/>
                <w:lang w:eastAsia="en-US"/>
              </w:rPr>
              <w:t>Normant</w:t>
            </w:r>
            <w:proofErr w:type="spellEnd"/>
            <w:r w:rsidRPr="00C60C26">
              <w:rPr>
                <w:rFonts w:ascii="Calibri" w:eastAsia="Calibri" w:hAnsi="Calibri" w:cs="Times New Roman"/>
                <w:lang w:eastAsia="en-US"/>
              </w:rPr>
              <w:t xml:space="preserve">, M., &amp; </w:t>
            </w:r>
            <w:proofErr w:type="spellStart"/>
            <w:r w:rsidRPr="00C60C26">
              <w:rPr>
                <w:rFonts w:ascii="Calibri" w:eastAsia="Calibri" w:hAnsi="Calibri" w:cs="Times New Roman"/>
                <w:lang w:eastAsia="en-US"/>
              </w:rPr>
              <w:t>Panov</w:t>
            </w:r>
            <w:proofErr w:type="spellEnd"/>
            <w:r w:rsidRPr="00C60C26">
              <w:rPr>
                <w:rFonts w:ascii="Calibri" w:eastAsia="Calibri" w:hAnsi="Calibri" w:cs="Times New Roman"/>
                <w:lang w:eastAsia="en-US"/>
              </w:rPr>
              <w:t>, V</w:t>
            </w:r>
            <w:r w:rsidR="00FA0A42" w:rsidRPr="00C60C26">
              <w:rPr>
                <w:rFonts w:ascii="Calibri" w:eastAsia="Calibri" w:hAnsi="Calibri" w:cs="Times New Roman"/>
                <w:lang w:eastAsia="en-US"/>
              </w:rPr>
              <w:t>.</w:t>
            </w:r>
            <w:r w:rsidRPr="00C60C26">
              <w:rPr>
                <w:rFonts w:ascii="Calibri" w:eastAsia="Calibri" w:hAnsi="Calibri" w:cs="Times New Roman"/>
                <w:lang w:eastAsia="en-US"/>
              </w:rPr>
              <w:t xml:space="preserve"> (2007). Chinese mitten crab </w:t>
            </w:r>
            <w:proofErr w:type="spellStart"/>
            <w:r w:rsidRPr="00C60C26">
              <w:rPr>
                <w:rFonts w:ascii="Calibri" w:eastAsia="Calibri" w:hAnsi="Calibri" w:cs="Times New Roman"/>
                <w:i/>
                <w:iCs/>
                <w:lang w:eastAsia="en-US"/>
              </w:rPr>
              <w:t>Eriocheir</w:t>
            </w:r>
            <w:proofErr w:type="spellEnd"/>
            <w:r w:rsidRPr="00C60C26">
              <w:rPr>
                <w:rFonts w:ascii="Calibri" w:eastAsia="Calibri" w:hAnsi="Calibri" w:cs="Times New Roman"/>
                <w:i/>
                <w:iCs/>
                <w:lang w:eastAsia="en-US"/>
              </w:rPr>
              <w:t xml:space="preserve"> sinensis</w:t>
            </w:r>
            <w:r w:rsidRPr="00C60C26">
              <w:rPr>
                <w:rFonts w:ascii="Calibri" w:eastAsia="Calibri" w:hAnsi="Calibri" w:cs="Times New Roman"/>
                <w:lang w:eastAsia="en-US"/>
              </w:rPr>
              <w:t xml:space="preserve"> in the Baltic Sea – a supply-side invader? </w:t>
            </w:r>
            <w:r w:rsidRPr="00C60C26">
              <w:rPr>
                <w:rFonts w:ascii="Calibri" w:eastAsia="Calibri" w:hAnsi="Calibri" w:cs="Times New Roman"/>
                <w:i/>
                <w:lang w:eastAsia="en-US"/>
              </w:rPr>
              <w:t>Biological Invasions</w:t>
            </w:r>
            <w:r w:rsidRPr="00C60C26">
              <w:rPr>
                <w:rFonts w:ascii="Calibri" w:eastAsia="Calibri" w:hAnsi="Calibri" w:cs="Times New Roman"/>
                <w:lang w:eastAsia="en-US"/>
              </w:rPr>
              <w:t>, 9, 409-418</w:t>
            </w:r>
            <w:r w:rsidR="00624B5D">
              <w:rPr>
                <w:rFonts w:ascii="Calibri" w:eastAsia="Calibri" w:hAnsi="Calibri" w:cs="Times New Roman"/>
                <w:lang w:eastAsia="en-US"/>
              </w:rPr>
              <w:t>.</w:t>
            </w:r>
          </w:p>
          <w:p w14:paraId="319E57B5" w14:textId="7F2E43A9"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Peters, N., &amp; Panning, A. (1933). Die </w:t>
            </w:r>
            <w:proofErr w:type="spellStart"/>
            <w:r w:rsidRPr="00C60C26">
              <w:rPr>
                <w:rFonts w:ascii="Calibri" w:eastAsia="Calibri" w:hAnsi="Calibri" w:cs="Times New Roman"/>
                <w:lang w:eastAsia="en-US"/>
              </w:rPr>
              <w:t>chinesische</w:t>
            </w:r>
            <w:proofErr w:type="spellEnd"/>
            <w:r w:rsidRPr="00C60C26">
              <w:rPr>
                <w:rFonts w:ascii="Calibri" w:eastAsia="Calibri" w:hAnsi="Calibri" w:cs="Times New Roman"/>
                <w:lang w:eastAsia="en-US"/>
              </w:rPr>
              <w:t xml:space="preserve"> </w:t>
            </w:r>
            <w:proofErr w:type="spellStart"/>
            <w:r w:rsidRPr="00C60C26">
              <w:rPr>
                <w:rFonts w:ascii="Calibri" w:eastAsia="Calibri" w:hAnsi="Calibri" w:cs="Times New Roman"/>
                <w:lang w:eastAsia="en-US"/>
              </w:rPr>
              <w:t>Wollhandkrabbe</w:t>
            </w:r>
            <w:proofErr w:type="spellEnd"/>
            <w:r w:rsidRPr="00C60C26">
              <w:rPr>
                <w:rFonts w:ascii="Calibri" w:eastAsia="Calibri" w:hAnsi="Calibri" w:cs="Times New Roman"/>
                <w:lang w:eastAsia="en-US"/>
              </w:rPr>
              <w:t xml:space="preserve"> (</w:t>
            </w:r>
            <w:proofErr w:type="spellStart"/>
            <w:r w:rsidRPr="00C60C26">
              <w:rPr>
                <w:rFonts w:ascii="Calibri" w:eastAsia="Calibri" w:hAnsi="Calibri" w:cs="Times New Roman"/>
                <w:i/>
                <w:lang w:eastAsia="en-US"/>
              </w:rPr>
              <w:t>Eriocheir</w:t>
            </w:r>
            <w:proofErr w:type="spellEnd"/>
            <w:r w:rsidRPr="00C60C26">
              <w:rPr>
                <w:rFonts w:ascii="Calibri" w:eastAsia="Calibri" w:hAnsi="Calibri" w:cs="Times New Roman"/>
                <w:i/>
                <w:lang w:eastAsia="en-US"/>
              </w:rPr>
              <w:t xml:space="preserve"> sinensis</w:t>
            </w:r>
            <w:r w:rsidRPr="00C60C26">
              <w:rPr>
                <w:rFonts w:ascii="Calibri" w:eastAsia="Calibri" w:hAnsi="Calibri" w:cs="Times New Roman"/>
                <w:lang w:eastAsia="en-US"/>
              </w:rPr>
              <w:t xml:space="preserve"> H. Milne-Edwards) in Deutschland. </w:t>
            </w:r>
            <w:proofErr w:type="spellStart"/>
            <w:r w:rsidRPr="00C60C26">
              <w:rPr>
                <w:rFonts w:ascii="Calibri" w:eastAsia="Calibri" w:hAnsi="Calibri" w:cs="Times New Roman"/>
                <w:i/>
                <w:lang w:eastAsia="en-US"/>
              </w:rPr>
              <w:t>Zoologischer</w:t>
            </w:r>
            <w:proofErr w:type="spellEnd"/>
            <w:r w:rsidRPr="00C60C26">
              <w:rPr>
                <w:rFonts w:ascii="Calibri" w:eastAsia="Calibri" w:hAnsi="Calibri" w:cs="Times New Roman"/>
                <w:i/>
                <w:lang w:eastAsia="en-US"/>
              </w:rPr>
              <w:t xml:space="preserve"> </w:t>
            </w:r>
            <w:proofErr w:type="spellStart"/>
            <w:r w:rsidRPr="00C60C26">
              <w:rPr>
                <w:rFonts w:ascii="Calibri" w:eastAsia="Calibri" w:hAnsi="Calibri" w:cs="Times New Roman"/>
                <w:i/>
                <w:lang w:eastAsia="en-US"/>
              </w:rPr>
              <w:t>Anzeiger</w:t>
            </w:r>
            <w:proofErr w:type="spellEnd"/>
            <w:r w:rsidRPr="00C60C26">
              <w:rPr>
                <w:rFonts w:ascii="Calibri" w:eastAsia="Calibri" w:hAnsi="Calibri" w:cs="Times New Roman"/>
                <w:lang w:eastAsia="en-US"/>
              </w:rPr>
              <w:t>, 104, 180 S.</w:t>
            </w:r>
          </w:p>
          <w:p w14:paraId="2CE6A8CD" w14:textId="1B205CE6" w:rsidR="005E44B4" w:rsidRPr="00C60C26" w:rsidRDefault="005E44B4"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Roy, H. E., </w:t>
            </w:r>
            <w:r w:rsidR="008A7754" w:rsidRPr="00C60C26">
              <w:rPr>
                <w:rFonts w:ascii="Calibri" w:eastAsia="Calibri" w:hAnsi="Calibri" w:cs="Times New Roman"/>
                <w:lang w:eastAsia="en-US"/>
              </w:rPr>
              <w:t xml:space="preserve">Groom, Q., Adriaens, T., </w:t>
            </w:r>
            <w:proofErr w:type="spellStart"/>
            <w:r w:rsidR="008A7754" w:rsidRPr="00C60C26">
              <w:rPr>
                <w:rFonts w:ascii="Calibri" w:eastAsia="Calibri" w:hAnsi="Calibri" w:cs="Times New Roman"/>
                <w:lang w:eastAsia="en-US"/>
              </w:rPr>
              <w:t>Agnello</w:t>
            </w:r>
            <w:proofErr w:type="spellEnd"/>
            <w:r w:rsidR="008A7754" w:rsidRPr="00C60C26">
              <w:rPr>
                <w:rFonts w:ascii="Calibri" w:eastAsia="Calibri" w:hAnsi="Calibri" w:cs="Times New Roman"/>
                <w:lang w:eastAsia="en-US"/>
              </w:rPr>
              <w:t xml:space="preserve">, G., Antic, M., Archambeau A.-S., </w:t>
            </w:r>
            <w:proofErr w:type="spellStart"/>
            <w:r w:rsidR="008A7754" w:rsidRPr="00C60C26">
              <w:rPr>
                <w:rFonts w:ascii="Calibri" w:eastAsia="Calibri" w:hAnsi="Calibri" w:cs="Times New Roman"/>
                <w:lang w:eastAsia="en-US"/>
              </w:rPr>
              <w:t>Bacher</w:t>
            </w:r>
            <w:proofErr w:type="spellEnd"/>
            <w:r w:rsidR="008A7754" w:rsidRPr="00C60C26">
              <w:rPr>
                <w:rFonts w:ascii="Calibri" w:eastAsia="Calibri" w:hAnsi="Calibri" w:cs="Times New Roman"/>
                <w:lang w:eastAsia="en-US"/>
              </w:rPr>
              <w:t>, S., Bonn, A., Brown, P., Brundu, G.</w:t>
            </w:r>
            <w:r w:rsidR="00624B5D">
              <w:rPr>
                <w:rFonts w:ascii="Calibri" w:eastAsia="Calibri" w:hAnsi="Calibri" w:cs="Times New Roman"/>
                <w:lang w:eastAsia="en-US"/>
              </w:rPr>
              <w:t>,</w:t>
            </w:r>
            <w:r w:rsidR="008A7754" w:rsidRPr="00C60C26">
              <w:rPr>
                <w:rFonts w:ascii="Calibri" w:eastAsia="Calibri" w:hAnsi="Calibri" w:cs="Times New Roman"/>
                <w:lang w:eastAsia="en-US"/>
              </w:rPr>
              <w:t xml:space="preserve"> et al. (2018).</w:t>
            </w:r>
            <w:r w:rsidR="00947DFD" w:rsidRPr="00C60C26">
              <w:t xml:space="preserve"> </w:t>
            </w:r>
            <w:r w:rsidR="00947DFD" w:rsidRPr="00C60C26">
              <w:rPr>
                <w:rFonts w:ascii="Calibri" w:eastAsia="Calibri" w:hAnsi="Calibri" w:cs="Times New Roman"/>
                <w:lang w:eastAsia="en-US"/>
              </w:rPr>
              <w:t xml:space="preserve">Increasing understanding of alien species through citizen science (Alien-CSI). </w:t>
            </w:r>
            <w:r w:rsidR="00947DFD" w:rsidRPr="00C60C26">
              <w:rPr>
                <w:rFonts w:ascii="Calibri" w:eastAsia="Calibri" w:hAnsi="Calibri" w:cs="Times New Roman"/>
                <w:i/>
                <w:lang w:eastAsia="en-US"/>
              </w:rPr>
              <w:t>Research Ideas and Outcomes</w:t>
            </w:r>
            <w:r w:rsidR="00947DFD" w:rsidRPr="00C60C26">
              <w:rPr>
                <w:rFonts w:ascii="Calibri" w:eastAsia="Calibri" w:hAnsi="Calibri" w:cs="Times New Roman"/>
                <w:lang w:eastAsia="en-US"/>
              </w:rPr>
              <w:t>, 4, e31412</w:t>
            </w:r>
            <w:r w:rsidR="00624B5D">
              <w:rPr>
                <w:rFonts w:ascii="Calibri" w:eastAsia="Calibri" w:hAnsi="Calibri" w:cs="Times New Roman"/>
                <w:lang w:eastAsia="en-US"/>
              </w:rPr>
              <w:t>.</w:t>
            </w:r>
          </w:p>
          <w:p w14:paraId="22978AA1" w14:textId="2CE48830" w:rsidR="00C4569F" w:rsidRPr="00C60C26"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Ruiz, G. M., &amp; Reid, D. F. (2007). Current state of understanding about the effectiveness of ballast water exchange (BWE) in reducing aquatic nonindigenous species (ANS) introductions to the Great Lakes Basin and Chesapeake Bay, USA: synthesis and analysis of existing information. NOAA Technical Memorandum GLERL-142, 143 pp</w:t>
            </w:r>
            <w:r w:rsidR="00624B5D">
              <w:rPr>
                <w:rFonts w:ascii="Calibri" w:eastAsia="Calibri" w:hAnsi="Calibri" w:cs="Times New Roman"/>
                <w:lang w:eastAsia="en-US"/>
              </w:rPr>
              <w:t>.</w:t>
            </w:r>
          </w:p>
          <w:p w14:paraId="2AAE0E18" w14:textId="00FA35AE" w:rsidR="00C4569F" w:rsidRDefault="00C4569F" w:rsidP="002F2131">
            <w:pPr>
              <w:spacing w:after="120" w:line="257" w:lineRule="auto"/>
              <w:rPr>
                <w:rFonts w:ascii="Calibri" w:eastAsia="Calibri" w:hAnsi="Calibri" w:cs="Times New Roman"/>
                <w:lang w:eastAsia="en-US"/>
              </w:rPr>
            </w:pPr>
            <w:r w:rsidRPr="00C60C26">
              <w:rPr>
                <w:rFonts w:ascii="Calibri" w:eastAsia="Calibri" w:hAnsi="Calibri" w:cs="Times New Roman"/>
                <w:lang w:eastAsia="en-US"/>
              </w:rPr>
              <w:t xml:space="preserve">Schwartz, M. K., </w:t>
            </w:r>
            <w:proofErr w:type="spellStart"/>
            <w:r w:rsidRPr="00C60C26">
              <w:rPr>
                <w:rFonts w:ascii="Calibri" w:eastAsia="Calibri" w:hAnsi="Calibri" w:cs="Times New Roman"/>
                <w:lang w:eastAsia="en-US"/>
              </w:rPr>
              <w:t>Luikart</w:t>
            </w:r>
            <w:proofErr w:type="spellEnd"/>
            <w:r w:rsidRPr="00C60C26">
              <w:rPr>
                <w:rFonts w:ascii="Calibri" w:eastAsia="Calibri" w:hAnsi="Calibri" w:cs="Times New Roman"/>
                <w:lang w:eastAsia="en-US"/>
              </w:rPr>
              <w:t xml:space="preserve">, G., &amp; </w:t>
            </w:r>
            <w:proofErr w:type="spellStart"/>
            <w:r w:rsidRPr="00C60C26">
              <w:rPr>
                <w:rFonts w:ascii="Calibri" w:eastAsia="Calibri" w:hAnsi="Calibri" w:cs="Times New Roman"/>
                <w:lang w:eastAsia="en-US"/>
              </w:rPr>
              <w:t>Waples</w:t>
            </w:r>
            <w:proofErr w:type="spellEnd"/>
            <w:r w:rsidRPr="00C60C26">
              <w:rPr>
                <w:rFonts w:ascii="Calibri" w:eastAsia="Calibri" w:hAnsi="Calibri" w:cs="Times New Roman"/>
                <w:lang w:eastAsia="en-US"/>
              </w:rPr>
              <w:t xml:space="preserve">, R. S. (2007). Genetic monitoring as a promising tool for conservation and management. </w:t>
            </w:r>
            <w:r w:rsidRPr="00C60C26">
              <w:rPr>
                <w:rFonts w:ascii="Calibri" w:eastAsia="Calibri" w:hAnsi="Calibri" w:cs="Times New Roman"/>
                <w:i/>
                <w:lang w:eastAsia="en-US"/>
              </w:rPr>
              <w:t>Trends in Ecology and Evolution</w:t>
            </w:r>
            <w:r w:rsidRPr="00C60C26">
              <w:rPr>
                <w:rFonts w:ascii="Calibri" w:eastAsia="Calibri" w:hAnsi="Calibri" w:cs="Times New Roman"/>
                <w:lang w:eastAsia="en-US"/>
              </w:rPr>
              <w:t>, 22, 25-33</w:t>
            </w:r>
            <w:r w:rsidR="00624B5D">
              <w:rPr>
                <w:rFonts w:ascii="Calibri" w:eastAsia="Calibri" w:hAnsi="Calibri" w:cs="Times New Roman"/>
                <w:lang w:eastAsia="en-US"/>
              </w:rPr>
              <w:t>.</w:t>
            </w:r>
          </w:p>
          <w:p w14:paraId="19E9F1E3" w14:textId="6BA9AAE1" w:rsidR="009D2758" w:rsidRDefault="009D2758" w:rsidP="002F2131">
            <w:pPr>
              <w:spacing w:after="120" w:line="257" w:lineRule="auto"/>
              <w:rPr>
                <w:rFonts w:ascii="Calibri" w:eastAsia="Calibri" w:hAnsi="Calibri" w:cs="Times New Roman"/>
                <w:lang w:eastAsia="en-US"/>
              </w:rPr>
            </w:pPr>
            <w:proofErr w:type="spellStart"/>
            <w:r w:rsidRPr="009D2758">
              <w:rPr>
                <w:rFonts w:ascii="Calibri" w:eastAsia="Calibri" w:hAnsi="Calibri" w:cs="Times New Roman"/>
                <w:lang w:eastAsia="en-US"/>
              </w:rPr>
              <w:t>Scianni</w:t>
            </w:r>
            <w:proofErr w:type="spellEnd"/>
            <w:r>
              <w:rPr>
                <w:rFonts w:ascii="Calibri" w:eastAsia="Calibri" w:hAnsi="Calibri" w:cs="Times New Roman"/>
                <w:lang w:eastAsia="en-US"/>
              </w:rPr>
              <w:t>,</w:t>
            </w:r>
            <w:r w:rsidRPr="009D2758">
              <w:rPr>
                <w:rFonts w:ascii="Calibri" w:eastAsia="Calibri" w:hAnsi="Calibri" w:cs="Times New Roman"/>
                <w:lang w:eastAsia="en-US"/>
              </w:rPr>
              <w:t xml:space="preserve"> C</w:t>
            </w:r>
            <w:r>
              <w:rPr>
                <w:rFonts w:ascii="Calibri" w:eastAsia="Calibri" w:hAnsi="Calibri" w:cs="Times New Roman"/>
                <w:lang w:eastAsia="en-US"/>
              </w:rPr>
              <w:t>.</w:t>
            </w:r>
            <w:r w:rsidRPr="009D2758">
              <w:rPr>
                <w:rFonts w:ascii="Calibri" w:eastAsia="Calibri" w:hAnsi="Calibri" w:cs="Times New Roman"/>
                <w:lang w:eastAsia="en-US"/>
              </w:rPr>
              <w:t xml:space="preserve">, </w:t>
            </w:r>
            <w:r>
              <w:rPr>
                <w:rFonts w:ascii="Calibri" w:eastAsia="Calibri" w:hAnsi="Calibri" w:cs="Times New Roman"/>
                <w:lang w:eastAsia="en-US"/>
              </w:rPr>
              <w:t xml:space="preserve">&amp; </w:t>
            </w:r>
            <w:r w:rsidRPr="009D2758">
              <w:rPr>
                <w:rFonts w:ascii="Calibri" w:eastAsia="Calibri" w:hAnsi="Calibri" w:cs="Times New Roman"/>
                <w:lang w:eastAsia="en-US"/>
              </w:rPr>
              <w:t>Georgiades</w:t>
            </w:r>
            <w:r>
              <w:rPr>
                <w:rFonts w:ascii="Calibri" w:eastAsia="Calibri" w:hAnsi="Calibri" w:cs="Times New Roman"/>
                <w:lang w:eastAsia="en-US"/>
              </w:rPr>
              <w:t>,</w:t>
            </w:r>
            <w:r w:rsidRPr="009D2758">
              <w:rPr>
                <w:rFonts w:ascii="Calibri" w:eastAsia="Calibri" w:hAnsi="Calibri" w:cs="Times New Roman"/>
                <w:lang w:eastAsia="en-US"/>
              </w:rPr>
              <w:t xml:space="preserve"> E</w:t>
            </w:r>
            <w:r>
              <w:rPr>
                <w:rFonts w:ascii="Calibri" w:eastAsia="Calibri" w:hAnsi="Calibri" w:cs="Times New Roman"/>
                <w:lang w:eastAsia="en-US"/>
              </w:rPr>
              <w:t>. (</w:t>
            </w:r>
            <w:r w:rsidRPr="009D2758">
              <w:rPr>
                <w:rFonts w:ascii="Calibri" w:eastAsia="Calibri" w:hAnsi="Calibri" w:cs="Times New Roman"/>
                <w:lang w:eastAsia="en-US"/>
              </w:rPr>
              <w:t>2019.</w:t>
            </w:r>
            <w:r>
              <w:rPr>
                <w:rFonts w:ascii="Calibri" w:eastAsia="Calibri" w:hAnsi="Calibri" w:cs="Times New Roman"/>
                <w:lang w:eastAsia="en-US"/>
              </w:rPr>
              <w:t>)</w:t>
            </w:r>
            <w:r w:rsidRPr="009D2758">
              <w:rPr>
                <w:rFonts w:ascii="Calibri" w:eastAsia="Calibri" w:hAnsi="Calibri" w:cs="Times New Roman"/>
                <w:lang w:eastAsia="en-US"/>
              </w:rPr>
              <w:t xml:space="preserve"> Vessel in-water cleaning or treatment: identification of environmental risks and science needs for evidence-based decision making. </w:t>
            </w:r>
            <w:r w:rsidRPr="009D2758">
              <w:rPr>
                <w:rFonts w:ascii="Calibri" w:eastAsia="Calibri" w:hAnsi="Calibri" w:cs="Times New Roman"/>
                <w:i/>
                <w:iCs/>
                <w:lang w:eastAsia="en-US"/>
              </w:rPr>
              <w:t>Frontiers in Marine Science</w:t>
            </w:r>
            <w:r w:rsidRPr="009D2758">
              <w:rPr>
                <w:rFonts w:ascii="Calibri" w:eastAsia="Calibri" w:hAnsi="Calibri" w:cs="Times New Roman"/>
                <w:lang w:eastAsia="en-US"/>
              </w:rPr>
              <w:t>, 6</w:t>
            </w:r>
            <w:r>
              <w:rPr>
                <w:rFonts w:ascii="Calibri" w:eastAsia="Calibri" w:hAnsi="Calibri" w:cs="Times New Roman"/>
                <w:lang w:eastAsia="en-US"/>
              </w:rPr>
              <w:t xml:space="preserve">, </w:t>
            </w:r>
            <w:r w:rsidRPr="009D2758">
              <w:rPr>
                <w:rFonts w:ascii="Calibri" w:eastAsia="Calibri" w:hAnsi="Calibri" w:cs="Times New Roman"/>
                <w:lang w:eastAsia="en-US"/>
              </w:rPr>
              <w:t xml:space="preserve">467. </w:t>
            </w:r>
          </w:p>
          <w:p w14:paraId="5A415646" w14:textId="702B20A5" w:rsidR="009D2758" w:rsidRPr="00C60C26" w:rsidRDefault="009D2758" w:rsidP="002F2131">
            <w:pPr>
              <w:spacing w:after="120" w:line="257" w:lineRule="auto"/>
              <w:rPr>
                <w:rFonts w:ascii="Calibri" w:eastAsia="Calibri" w:hAnsi="Calibri" w:cs="Times New Roman"/>
                <w:lang w:eastAsia="en-US"/>
              </w:rPr>
            </w:pPr>
            <w:r w:rsidRPr="009D2758">
              <w:rPr>
                <w:rFonts w:ascii="Calibri" w:eastAsia="Calibri" w:hAnsi="Calibri" w:cs="Times New Roman"/>
                <w:lang w:eastAsia="en-US"/>
              </w:rPr>
              <w:t xml:space="preserve">Schultz, M. P., </w:t>
            </w:r>
            <w:proofErr w:type="spellStart"/>
            <w:r w:rsidRPr="009D2758">
              <w:rPr>
                <w:rFonts w:ascii="Calibri" w:eastAsia="Calibri" w:hAnsi="Calibri" w:cs="Times New Roman"/>
                <w:lang w:eastAsia="en-US"/>
              </w:rPr>
              <w:t>Bendick</w:t>
            </w:r>
            <w:proofErr w:type="spellEnd"/>
            <w:r w:rsidRPr="009D2758">
              <w:rPr>
                <w:rFonts w:ascii="Calibri" w:eastAsia="Calibri" w:hAnsi="Calibri" w:cs="Times New Roman"/>
                <w:lang w:eastAsia="en-US"/>
              </w:rPr>
              <w:t>, J. A., Holm, E. R.</w:t>
            </w:r>
            <w:r>
              <w:rPr>
                <w:rFonts w:ascii="Calibri" w:eastAsia="Calibri" w:hAnsi="Calibri" w:cs="Times New Roman"/>
                <w:lang w:eastAsia="en-US"/>
              </w:rPr>
              <w:t>, &amp;</w:t>
            </w:r>
            <w:r w:rsidRPr="009D2758">
              <w:rPr>
                <w:rFonts w:ascii="Calibri" w:eastAsia="Calibri" w:hAnsi="Calibri" w:cs="Times New Roman"/>
                <w:lang w:eastAsia="en-US"/>
              </w:rPr>
              <w:t xml:space="preserve"> Hertel, W. M.</w:t>
            </w:r>
            <w:r>
              <w:rPr>
                <w:rFonts w:ascii="Calibri" w:eastAsia="Calibri" w:hAnsi="Calibri" w:cs="Times New Roman"/>
                <w:lang w:eastAsia="en-US"/>
              </w:rPr>
              <w:t xml:space="preserve"> </w:t>
            </w:r>
            <w:r w:rsidRPr="009D2758">
              <w:rPr>
                <w:rFonts w:ascii="Calibri" w:eastAsia="Calibri" w:hAnsi="Calibri" w:cs="Times New Roman"/>
                <w:lang w:eastAsia="en-US"/>
              </w:rPr>
              <w:t>(2011)</w:t>
            </w:r>
            <w:r>
              <w:rPr>
                <w:rFonts w:ascii="Calibri" w:eastAsia="Calibri" w:hAnsi="Calibri" w:cs="Times New Roman"/>
                <w:lang w:eastAsia="en-US"/>
              </w:rPr>
              <w:t>.</w:t>
            </w:r>
            <w:r w:rsidRPr="009D2758">
              <w:rPr>
                <w:rFonts w:ascii="Calibri" w:eastAsia="Calibri" w:hAnsi="Calibri" w:cs="Times New Roman"/>
                <w:lang w:eastAsia="en-US"/>
              </w:rPr>
              <w:t xml:space="preserve"> Economic impact of biofouling on a naval surface ship</w:t>
            </w:r>
            <w:r>
              <w:rPr>
                <w:rFonts w:ascii="Calibri" w:eastAsia="Calibri" w:hAnsi="Calibri" w:cs="Times New Roman"/>
                <w:lang w:eastAsia="en-US"/>
              </w:rPr>
              <w:t>.</w:t>
            </w:r>
            <w:r w:rsidRPr="009D2758">
              <w:rPr>
                <w:rFonts w:ascii="Calibri" w:eastAsia="Calibri" w:hAnsi="Calibri" w:cs="Times New Roman"/>
                <w:lang w:eastAsia="en-US"/>
              </w:rPr>
              <w:t xml:space="preserve"> </w:t>
            </w:r>
            <w:r w:rsidRPr="00B766BB">
              <w:rPr>
                <w:rFonts w:ascii="Calibri" w:eastAsia="Calibri" w:hAnsi="Calibri" w:cs="Times New Roman"/>
                <w:i/>
                <w:iCs/>
                <w:lang w:eastAsia="en-US"/>
              </w:rPr>
              <w:t>Biofouling</w:t>
            </w:r>
            <w:r w:rsidRPr="009D2758">
              <w:rPr>
                <w:rFonts w:ascii="Calibri" w:eastAsia="Calibri" w:hAnsi="Calibri" w:cs="Times New Roman"/>
                <w:lang w:eastAsia="en-US"/>
              </w:rPr>
              <w:t>, 27, 87</w:t>
            </w:r>
            <w:r>
              <w:rPr>
                <w:rFonts w:ascii="Calibri" w:eastAsia="Calibri" w:hAnsi="Calibri" w:cs="Times New Roman"/>
                <w:lang w:eastAsia="en-US"/>
              </w:rPr>
              <w:t>-</w:t>
            </w:r>
            <w:r w:rsidRPr="009D2758">
              <w:rPr>
                <w:rFonts w:ascii="Calibri" w:eastAsia="Calibri" w:hAnsi="Calibri" w:cs="Times New Roman"/>
                <w:lang w:eastAsia="en-US"/>
              </w:rPr>
              <w:t>98</w:t>
            </w:r>
            <w:r>
              <w:rPr>
                <w:rFonts w:ascii="Calibri" w:eastAsia="Calibri" w:hAnsi="Calibri" w:cs="Times New Roman"/>
                <w:lang w:eastAsia="en-US"/>
              </w:rPr>
              <w:t>.</w:t>
            </w:r>
          </w:p>
          <w:p w14:paraId="725F6CC2" w14:textId="41EC4E76"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Stehouwer</w:t>
            </w:r>
            <w:proofErr w:type="spellEnd"/>
            <w:r w:rsidRPr="00C60C26">
              <w:rPr>
                <w:rFonts w:ascii="Calibri" w:eastAsia="Calibri" w:hAnsi="Calibri" w:cs="Times New Roman"/>
                <w:lang w:eastAsia="en-US"/>
              </w:rPr>
              <w:t xml:space="preserve">, P. P., </w:t>
            </w:r>
            <w:proofErr w:type="spellStart"/>
            <w:r w:rsidRPr="00C60C26">
              <w:rPr>
                <w:rFonts w:ascii="Calibri" w:eastAsia="Calibri" w:hAnsi="Calibri" w:cs="Times New Roman"/>
                <w:lang w:eastAsia="en-US"/>
              </w:rPr>
              <w:t>Buma</w:t>
            </w:r>
            <w:proofErr w:type="spellEnd"/>
            <w:r w:rsidRPr="00C60C26">
              <w:rPr>
                <w:rFonts w:ascii="Calibri" w:eastAsia="Calibri" w:hAnsi="Calibri" w:cs="Times New Roman"/>
                <w:lang w:eastAsia="en-US"/>
              </w:rPr>
              <w:t xml:space="preserve">, A., &amp; </w:t>
            </w:r>
            <w:proofErr w:type="spellStart"/>
            <w:r w:rsidRPr="00C60C26">
              <w:rPr>
                <w:rFonts w:ascii="Calibri" w:eastAsia="Calibri" w:hAnsi="Calibri" w:cs="Times New Roman"/>
                <w:lang w:eastAsia="en-US"/>
              </w:rPr>
              <w:t>Peperzak</w:t>
            </w:r>
            <w:proofErr w:type="spellEnd"/>
            <w:r w:rsidRPr="00C60C26">
              <w:rPr>
                <w:rFonts w:ascii="Calibri" w:eastAsia="Calibri" w:hAnsi="Calibri" w:cs="Times New Roman"/>
                <w:lang w:eastAsia="en-US"/>
              </w:rPr>
              <w:t xml:space="preserve">, L. (2015). A comparison of six different ballast water treatment systems based on UV radiation, </w:t>
            </w:r>
            <w:proofErr w:type="spellStart"/>
            <w:r w:rsidRPr="00C60C26">
              <w:rPr>
                <w:rFonts w:ascii="Calibri" w:eastAsia="Calibri" w:hAnsi="Calibri" w:cs="Times New Roman"/>
                <w:lang w:eastAsia="en-US"/>
              </w:rPr>
              <w:t>electrochlorination</w:t>
            </w:r>
            <w:proofErr w:type="spellEnd"/>
            <w:r w:rsidRPr="00C60C26">
              <w:rPr>
                <w:rFonts w:ascii="Calibri" w:eastAsia="Calibri" w:hAnsi="Calibri" w:cs="Times New Roman"/>
                <w:lang w:eastAsia="en-US"/>
              </w:rPr>
              <w:t xml:space="preserve"> and chlorine dioxide. </w:t>
            </w:r>
            <w:r w:rsidRPr="00C60C26">
              <w:rPr>
                <w:rFonts w:ascii="Calibri" w:eastAsia="Calibri" w:hAnsi="Calibri" w:cs="Times New Roman"/>
                <w:i/>
                <w:lang w:eastAsia="en-US"/>
              </w:rPr>
              <w:t>Environmental Technology</w:t>
            </w:r>
            <w:r w:rsidRPr="00C60C26">
              <w:rPr>
                <w:rFonts w:ascii="Calibri" w:eastAsia="Calibri" w:hAnsi="Calibri" w:cs="Times New Roman"/>
                <w:lang w:eastAsia="en-US"/>
              </w:rPr>
              <w:t>, 36(16), 2094-104</w:t>
            </w:r>
            <w:r w:rsidR="00624B5D">
              <w:rPr>
                <w:rFonts w:ascii="Calibri" w:eastAsia="Calibri" w:hAnsi="Calibri" w:cs="Times New Roman"/>
                <w:lang w:eastAsia="en-US"/>
              </w:rPr>
              <w:t>.</w:t>
            </w:r>
          </w:p>
          <w:p w14:paraId="51DC379A" w14:textId="27E70722"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Tsolaki</w:t>
            </w:r>
            <w:proofErr w:type="spellEnd"/>
            <w:r w:rsidRPr="00C60C26">
              <w:rPr>
                <w:rFonts w:ascii="Calibri" w:eastAsia="Calibri" w:hAnsi="Calibri" w:cs="Times New Roman"/>
                <w:lang w:eastAsia="en-US"/>
              </w:rPr>
              <w:t xml:space="preserve">, E., &amp; </w:t>
            </w:r>
            <w:proofErr w:type="spellStart"/>
            <w:r w:rsidRPr="00C60C26">
              <w:rPr>
                <w:rFonts w:ascii="Calibri" w:eastAsia="Calibri" w:hAnsi="Calibri" w:cs="Times New Roman"/>
                <w:lang w:eastAsia="en-US"/>
              </w:rPr>
              <w:t>Diamadopoulos</w:t>
            </w:r>
            <w:proofErr w:type="spellEnd"/>
            <w:r w:rsidRPr="00C60C26">
              <w:rPr>
                <w:rFonts w:ascii="Calibri" w:eastAsia="Calibri" w:hAnsi="Calibri" w:cs="Times New Roman"/>
                <w:lang w:eastAsia="en-US"/>
              </w:rPr>
              <w:t xml:space="preserve">, E. (2010). Technologies for ballast water treatment: a review. </w:t>
            </w:r>
            <w:r w:rsidRPr="00C60C26">
              <w:rPr>
                <w:rFonts w:ascii="Calibri" w:eastAsia="Calibri" w:hAnsi="Calibri" w:cs="Times New Roman"/>
                <w:i/>
                <w:lang w:eastAsia="en-US"/>
              </w:rPr>
              <w:t>Journal of Chemical Technology &amp; Biotechnology</w:t>
            </w:r>
            <w:r w:rsidRPr="00C60C26">
              <w:rPr>
                <w:rFonts w:ascii="Calibri" w:eastAsia="Calibri" w:hAnsi="Calibri" w:cs="Times New Roman"/>
                <w:lang w:eastAsia="en-US"/>
              </w:rPr>
              <w:t>, 85(1), 19-32</w:t>
            </w:r>
            <w:r w:rsidR="00624B5D">
              <w:rPr>
                <w:rFonts w:ascii="Calibri" w:eastAsia="Calibri" w:hAnsi="Calibri" w:cs="Times New Roman"/>
                <w:lang w:eastAsia="en-US"/>
              </w:rPr>
              <w:t>.</w:t>
            </w:r>
          </w:p>
          <w:p w14:paraId="084DE2CB" w14:textId="3A519043" w:rsidR="00C4569F" w:rsidRPr="00C60C26"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Vorkapić</w:t>
            </w:r>
            <w:proofErr w:type="spellEnd"/>
            <w:r w:rsidRPr="00C60C26">
              <w:rPr>
                <w:rFonts w:ascii="Calibri" w:eastAsia="Calibri" w:hAnsi="Calibri" w:cs="Times New Roman"/>
                <w:lang w:eastAsia="en-US"/>
              </w:rPr>
              <w:t xml:space="preserve">, A., </w:t>
            </w:r>
            <w:proofErr w:type="spellStart"/>
            <w:r w:rsidRPr="00C60C26">
              <w:rPr>
                <w:rFonts w:ascii="Calibri" w:eastAsia="Calibri" w:hAnsi="Calibri" w:cs="Times New Roman"/>
                <w:lang w:eastAsia="en-US"/>
              </w:rPr>
              <w:t>Radonja</w:t>
            </w:r>
            <w:proofErr w:type="spellEnd"/>
            <w:r w:rsidRPr="00C60C26">
              <w:rPr>
                <w:rFonts w:ascii="Calibri" w:eastAsia="Calibri" w:hAnsi="Calibri" w:cs="Times New Roman"/>
                <w:lang w:eastAsia="en-US"/>
              </w:rPr>
              <w:t xml:space="preserve">, R., &amp; </w:t>
            </w:r>
            <w:proofErr w:type="spellStart"/>
            <w:r w:rsidRPr="00C60C26">
              <w:rPr>
                <w:rFonts w:ascii="Calibri" w:eastAsia="Calibri" w:hAnsi="Calibri" w:cs="Times New Roman"/>
                <w:lang w:eastAsia="en-US"/>
              </w:rPr>
              <w:t>Zec</w:t>
            </w:r>
            <w:proofErr w:type="spellEnd"/>
            <w:r w:rsidRPr="00C60C26">
              <w:rPr>
                <w:rFonts w:ascii="Calibri" w:eastAsia="Calibri" w:hAnsi="Calibri" w:cs="Times New Roman"/>
                <w:lang w:eastAsia="en-US"/>
              </w:rPr>
              <w:t xml:space="preserve">, D. (2018). Cost efficiency of ballast water treatment systems based on ultraviolet irradiation and </w:t>
            </w:r>
            <w:proofErr w:type="spellStart"/>
            <w:r w:rsidRPr="00C60C26">
              <w:rPr>
                <w:rFonts w:ascii="Calibri" w:eastAsia="Calibri" w:hAnsi="Calibri" w:cs="Times New Roman"/>
                <w:lang w:eastAsia="en-US"/>
              </w:rPr>
              <w:t>electrochlorination</w:t>
            </w:r>
            <w:proofErr w:type="spellEnd"/>
            <w:r w:rsidRPr="00C60C26">
              <w:rPr>
                <w:rFonts w:ascii="Calibri" w:eastAsia="Calibri" w:hAnsi="Calibri" w:cs="Times New Roman"/>
                <w:lang w:eastAsia="en-US"/>
              </w:rPr>
              <w:t xml:space="preserve">. </w:t>
            </w:r>
            <w:proofErr w:type="spellStart"/>
            <w:r w:rsidRPr="00C60C26">
              <w:rPr>
                <w:rFonts w:ascii="Calibri" w:eastAsia="Calibri" w:hAnsi="Calibri" w:cs="Times New Roman"/>
                <w:i/>
                <w:lang w:eastAsia="en-US"/>
              </w:rPr>
              <w:t>Promet</w:t>
            </w:r>
            <w:proofErr w:type="spellEnd"/>
            <w:r w:rsidRPr="00C60C26">
              <w:rPr>
                <w:rFonts w:ascii="Calibri" w:eastAsia="Calibri" w:hAnsi="Calibri" w:cs="Times New Roman"/>
                <w:i/>
                <w:lang w:eastAsia="en-US"/>
              </w:rPr>
              <w:t xml:space="preserve"> – Traffic &amp; Transportation</w:t>
            </w:r>
            <w:r w:rsidRPr="00C60C26">
              <w:rPr>
                <w:rFonts w:ascii="Calibri" w:eastAsia="Calibri" w:hAnsi="Calibri" w:cs="Times New Roman"/>
                <w:lang w:eastAsia="en-US"/>
              </w:rPr>
              <w:t>, 30(3), 343-348</w:t>
            </w:r>
            <w:r w:rsidR="005F5EEF">
              <w:rPr>
                <w:rFonts w:ascii="Calibri" w:eastAsia="Calibri" w:hAnsi="Calibri" w:cs="Times New Roman"/>
                <w:lang w:eastAsia="en-US"/>
              </w:rPr>
              <w:t>.</w:t>
            </w:r>
          </w:p>
          <w:p w14:paraId="2F02430A" w14:textId="5B5AAC4C" w:rsidR="00C4569F"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Werschkun</w:t>
            </w:r>
            <w:proofErr w:type="spellEnd"/>
            <w:r w:rsidRPr="00C60C26">
              <w:rPr>
                <w:rFonts w:ascii="Calibri" w:eastAsia="Calibri" w:hAnsi="Calibri" w:cs="Times New Roman"/>
                <w:lang w:eastAsia="en-US"/>
              </w:rPr>
              <w:t xml:space="preserve">, B., Banerji, S., </w:t>
            </w:r>
            <w:proofErr w:type="spellStart"/>
            <w:r w:rsidRPr="00C60C26">
              <w:rPr>
                <w:rFonts w:ascii="Calibri" w:eastAsia="Calibri" w:hAnsi="Calibri" w:cs="Times New Roman"/>
                <w:lang w:eastAsia="en-US"/>
              </w:rPr>
              <w:t>Basurko</w:t>
            </w:r>
            <w:proofErr w:type="spellEnd"/>
            <w:r w:rsidRPr="00C60C26">
              <w:rPr>
                <w:rFonts w:ascii="Calibri" w:eastAsia="Calibri" w:hAnsi="Calibri" w:cs="Times New Roman"/>
                <w:lang w:eastAsia="en-US"/>
              </w:rPr>
              <w:t xml:space="preserve">, O. C., David, M., Fuhr, F., </w:t>
            </w:r>
            <w:proofErr w:type="spellStart"/>
            <w:r w:rsidRPr="00C60C26">
              <w:rPr>
                <w:rFonts w:ascii="Calibri" w:eastAsia="Calibri" w:hAnsi="Calibri" w:cs="Times New Roman"/>
                <w:lang w:eastAsia="en-US"/>
              </w:rPr>
              <w:t>Gollasch</w:t>
            </w:r>
            <w:proofErr w:type="spellEnd"/>
            <w:r w:rsidRPr="00C60C26">
              <w:rPr>
                <w:rFonts w:ascii="Calibri" w:eastAsia="Calibri" w:hAnsi="Calibri" w:cs="Times New Roman"/>
                <w:lang w:eastAsia="en-US"/>
              </w:rPr>
              <w:t xml:space="preserve">, S., </w:t>
            </w:r>
            <w:proofErr w:type="spellStart"/>
            <w:r w:rsidRPr="00C60C26">
              <w:rPr>
                <w:rFonts w:ascii="Calibri" w:eastAsia="Calibri" w:hAnsi="Calibri" w:cs="Times New Roman"/>
                <w:lang w:eastAsia="en-US"/>
              </w:rPr>
              <w:t>Grummtf</w:t>
            </w:r>
            <w:proofErr w:type="spellEnd"/>
            <w:r w:rsidRPr="00C60C26">
              <w:rPr>
                <w:rFonts w:ascii="Calibri" w:eastAsia="Calibri" w:hAnsi="Calibri" w:cs="Times New Roman"/>
                <w:lang w:eastAsia="en-US"/>
              </w:rPr>
              <w:t xml:space="preserve">, T., </w:t>
            </w:r>
            <w:proofErr w:type="spellStart"/>
            <w:r w:rsidRPr="00C60C26">
              <w:rPr>
                <w:rFonts w:ascii="Calibri" w:eastAsia="Calibri" w:hAnsi="Calibri" w:cs="Times New Roman"/>
                <w:lang w:eastAsia="en-US"/>
              </w:rPr>
              <w:t>Haarich</w:t>
            </w:r>
            <w:proofErr w:type="spellEnd"/>
            <w:r w:rsidRPr="00C60C26">
              <w:rPr>
                <w:rFonts w:ascii="Calibri" w:eastAsia="Calibri" w:hAnsi="Calibri" w:cs="Times New Roman"/>
                <w:lang w:eastAsia="en-US"/>
              </w:rPr>
              <w:t xml:space="preserve">, M., Jha, A. N., </w:t>
            </w:r>
            <w:proofErr w:type="spellStart"/>
            <w:r w:rsidRPr="00C60C26">
              <w:rPr>
                <w:rFonts w:ascii="Calibri" w:eastAsia="Calibri" w:hAnsi="Calibri" w:cs="Times New Roman"/>
                <w:lang w:eastAsia="en-US"/>
              </w:rPr>
              <w:t>Kacan</w:t>
            </w:r>
            <w:proofErr w:type="spellEnd"/>
            <w:r w:rsidRPr="00C60C26">
              <w:rPr>
                <w:rFonts w:ascii="Calibri" w:eastAsia="Calibri" w:hAnsi="Calibri" w:cs="Times New Roman"/>
                <w:lang w:eastAsia="en-US"/>
              </w:rPr>
              <w:t xml:space="preserve">, S., et al. (2014). Emerging risks from ballast water treatment: The run-up to the International Ballast Water Management Convention. </w:t>
            </w:r>
            <w:r w:rsidRPr="00C60C26">
              <w:rPr>
                <w:rFonts w:ascii="Calibri" w:eastAsia="Calibri" w:hAnsi="Calibri" w:cs="Times New Roman"/>
                <w:i/>
                <w:lang w:eastAsia="en-US"/>
              </w:rPr>
              <w:t>Chemosphere</w:t>
            </w:r>
            <w:r w:rsidRPr="00C60C26">
              <w:rPr>
                <w:rFonts w:ascii="Calibri" w:eastAsia="Calibri" w:hAnsi="Calibri" w:cs="Times New Roman"/>
                <w:lang w:eastAsia="en-US"/>
              </w:rPr>
              <w:t>, 112, 256-266</w:t>
            </w:r>
            <w:r w:rsidR="005F5EEF">
              <w:rPr>
                <w:rFonts w:ascii="Calibri" w:eastAsia="Calibri" w:hAnsi="Calibri" w:cs="Times New Roman"/>
                <w:lang w:eastAsia="en-US"/>
              </w:rPr>
              <w:t>.</w:t>
            </w:r>
          </w:p>
          <w:p w14:paraId="5EB316C9" w14:textId="72A2F792" w:rsidR="00C770DE" w:rsidRPr="00C60C26" w:rsidRDefault="00C770DE"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lastRenderedPageBreak/>
              <w:t>Zenetos</w:t>
            </w:r>
            <w:proofErr w:type="spellEnd"/>
            <w:r w:rsidR="006611F9" w:rsidRPr="00C60C26">
              <w:rPr>
                <w:rFonts w:ascii="Calibri" w:eastAsia="Calibri" w:hAnsi="Calibri" w:cs="Times New Roman"/>
                <w:lang w:eastAsia="en-US"/>
              </w:rPr>
              <w:t xml:space="preserve">, A., </w:t>
            </w:r>
            <w:proofErr w:type="spellStart"/>
            <w:r w:rsidR="00402C87" w:rsidRPr="00C60C26">
              <w:rPr>
                <w:rFonts w:ascii="Calibri" w:eastAsia="Calibri" w:hAnsi="Calibri" w:cs="Times New Roman"/>
                <w:lang w:eastAsia="en-US"/>
              </w:rPr>
              <w:t>Koutsogiannopoulos</w:t>
            </w:r>
            <w:proofErr w:type="spellEnd"/>
            <w:r w:rsidR="00402C87" w:rsidRPr="00C60C26">
              <w:rPr>
                <w:rFonts w:ascii="Calibri" w:eastAsia="Calibri" w:hAnsi="Calibri" w:cs="Times New Roman"/>
                <w:lang w:eastAsia="en-US"/>
              </w:rPr>
              <w:t xml:space="preserve">, D., Ovalis, P., &amp; </w:t>
            </w:r>
            <w:proofErr w:type="spellStart"/>
            <w:r w:rsidR="00402C87" w:rsidRPr="00C60C26">
              <w:rPr>
                <w:rFonts w:ascii="Calibri" w:eastAsia="Calibri" w:hAnsi="Calibri" w:cs="Times New Roman"/>
                <w:lang w:eastAsia="en-US"/>
              </w:rPr>
              <w:t>Poursanidis</w:t>
            </w:r>
            <w:proofErr w:type="spellEnd"/>
            <w:r w:rsidR="00402C87" w:rsidRPr="00C60C26">
              <w:rPr>
                <w:rFonts w:ascii="Calibri" w:eastAsia="Calibri" w:hAnsi="Calibri" w:cs="Times New Roman"/>
                <w:lang w:eastAsia="en-US"/>
              </w:rPr>
              <w:t>, D.</w:t>
            </w:r>
            <w:r w:rsidRPr="00C60C26">
              <w:rPr>
                <w:rFonts w:ascii="Calibri" w:eastAsia="Calibri" w:hAnsi="Calibri" w:cs="Times New Roman"/>
                <w:lang w:eastAsia="en-US"/>
              </w:rPr>
              <w:t xml:space="preserve"> </w:t>
            </w:r>
            <w:r w:rsidR="00981EF1" w:rsidRPr="00C60C26">
              <w:rPr>
                <w:rFonts w:ascii="Calibri" w:eastAsia="Calibri" w:hAnsi="Calibri" w:cs="Times New Roman"/>
                <w:lang w:eastAsia="en-US"/>
              </w:rPr>
              <w:t>(</w:t>
            </w:r>
            <w:r w:rsidRPr="00C60C26">
              <w:rPr>
                <w:rFonts w:ascii="Calibri" w:eastAsia="Calibri" w:hAnsi="Calibri" w:cs="Times New Roman"/>
                <w:lang w:eastAsia="en-US"/>
              </w:rPr>
              <w:t>201</w:t>
            </w:r>
            <w:r w:rsidR="00C41D2A" w:rsidRPr="00C60C26">
              <w:rPr>
                <w:rFonts w:ascii="Calibri" w:eastAsia="Calibri" w:hAnsi="Calibri" w:cs="Times New Roman"/>
                <w:lang w:eastAsia="en-US"/>
              </w:rPr>
              <w:t>3</w:t>
            </w:r>
            <w:r w:rsidR="00981EF1" w:rsidRPr="00C60C26">
              <w:rPr>
                <w:rFonts w:ascii="Calibri" w:eastAsia="Calibri" w:hAnsi="Calibri" w:cs="Times New Roman"/>
                <w:lang w:eastAsia="en-US"/>
              </w:rPr>
              <w:t>). The role played by citizen scientists in monitoring marine</w:t>
            </w:r>
            <w:r w:rsidR="005B513F" w:rsidRPr="00C60C26">
              <w:rPr>
                <w:rFonts w:ascii="Calibri" w:eastAsia="Calibri" w:hAnsi="Calibri" w:cs="Times New Roman"/>
                <w:lang w:eastAsia="en-US"/>
              </w:rPr>
              <w:t xml:space="preserve"> </w:t>
            </w:r>
            <w:r w:rsidR="00981EF1" w:rsidRPr="00C60C26">
              <w:rPr>
                <w:rFonts w:ascii="Calibri" w:eastAsia="Calibri" w:hAnsi="Calibri" w:cs="Times New Roman"/>
                <w:lang w:eastAsia="en-US"/>
              </w:rPr>
              <w:t>alien species in Greece</w:t>
            </w:r>
            <w:r w:rsidR="005B513F" w:rsidRPr="00C60C26">
              <w:rPr>
                <w:rFonts w:ascii="Calibri" w:eastAsia="Calibri" w:hAnsi="Calibri" w:cs="Times New Roman"/>
                <w:lang w:eastAsia="en-US"/>
              </w:rPr>
              <w:t xml:space="preserve">. </w:t>
            </w:r>
            <w:r w:rsidR="009E7C76" w:rsidRPr="00C60C26">
              <w:rPr>
                <w:i/>
                <w:iCs/>
              </w:rPr>
              <w:t xml:space="preserve">Cahiers de </w:t>
            </w:r>
            <w:proofErr w:type="spellStart"/>
            <w:r w:rsidR="009E7C76" w:rsidRPr="00C60C26">
              <w:rPr>
                <w:i/>
                <w:iCs/>
              </w:rPr>
              <w:t>Biologie</w:t>
            </w:r>
            <w:proofErr w:type="spellEnd"/>
            <w:r w:rsidR="009E7C76" w:rsidRPr="00C60C26">
              <w:rPr>
                <w:i/>
                <w:iCs/>
              </w:rPr>
              <w:t xml:space="preserve"> Marine</w:t>
            </w:r>
            <w:r w:rsidR="009E7C76" w:rsidRPr="00C60C26">
              <w:t>, 54, 419-426</w:t>
            </w:r>
            <w:r w:rsidR="005F5EEF">
              <w:t>.</w:t>
            </w:r>
          </w:p>
          <w:p w14:paraId="0459AC6A" w14:textId="6AB46348" w:rsidR="00097CF5" w:rsidRPr="00C4569F" w:rsidRDefault="00C4569F" w:rsidP="002F2131">
            <w:pPr>
              <w:spacing w:after="120" w:line="257" w:lineRule="auto"/>
              <w:rPr>
                <w:rFonts w:ascii="Calibri" w:eastAsia="Calibri" w:hAnsi="Calibri" w:cs="Times New Roman"/>
                <w:lang w:eastAsia="en-US"/>
              </w:rPr>
            </w:pPr>
            <w:proofErr w:type="spellStart"/>
            <w:r w:rsidRPr="00C60C26">
              <w:rPr>
                <w:rFonts w:ascii="Calibri" w:eastAsia="Calibri" w:hAnsi="Calibri" w:cs="Times New Roman"/>
                <w:lang w:eastAsia="en-US"/>
              </w:rPr>
              <w:t>Zogaris</w:t>
            </w:r>
            <w:proofErr w:type="spellEnd"/>
            <w:r w:rsidRPr="00C60C26">
              <w:rPr>
                <w:rFonts w:ascii="Calibri" w:eastAsia="Calibri" w:hAnsi="Calibri" w:cs="Times New Roman"/>
                <w:lang w:eastAsia="en-US"/>
              </w:rPr>
              <w:t xml:space="preserve">, S. (2017). Information on measures and related costs in relation to species considered for inclusion on the Union list: </w:t>
            </w:r>
            <w:r w:rsidRPr="00C60C26">
              <w:rPr>
                <w:rFonts w:ascii="Calibri" w:eastAsia="Calibri" w:hAnsi="Calibri" w:cs="Times New Roman"/>
                <w:i/>
                <w:lang w:eastAsia="en-US"/>
              </w:rPr>
              <w:t>Ameiurus</w:t>
            </w:r>
            <w:r w:rsidRPr="00C60C26">
              <w:rPr>
                <w:rFonts w:ascii="Calibri" w:eastAsia="Calibri" w:hAnsi="Calibri" w:cs="Times New Roman"/>
                <w:lang w:eastAsia="en-US"/>
              </w:rPr>
              <w:t xml:space="preserve"> spp. Technical note prepared by IUCN for the European Commission.</w:t>
            </w:r>
          </w:p>
        </w:tc>
      </w:tr>
    </w:tbl>
    <w:p w14:paraId="68C095E1" w14:textId="77777777" w:rsidR="00FD0D4D" w:rsidRDefault="00FD0D4D" w:rsidP="008C4B5B">
      <w:pPr>
        <w:spacing w:after="0" w:line="240" w:lineRule="auto"/>
        <w:rPr>
          <w:rFonts w:cstheme="minorHAnsi"/>
          <w:b/>
          <w:szCs w:val="20"/>
          <w:u w:val="single"/>
        </w:rPr>
      </w:pPr>
    </w:p>
    <w:p w14:paraId="3F42BE31" w14:textId="24182422" w:rsidR="00FD0D4D" w:rsidRDefault="00FD0D4D">
      <w:pPr>
        <w:rPr>
          <w:rFonts w:cstheme="minorHAnsi"/>
          <w:b/>
          <w:szCs w:val="20"/>
          <w:u w:val="single"/>
        </w:rPr>
      </w:pPr>
      <w:r>
        <w:rPr>
          <w:rFonts w:cstheme="minorHAnsi"/>
          <w:b/>
          <w:szCs w:val="20"/>
          <w:u w:val="single"/>
        </w:rPr>
        <w:br w:type="page"/>
      </w:r>
    </w:p>
    <w:p w14:paraId="4D2EE7EB" w14:textId="77777777" w:rsidR="00FD0D4D" w:rsidRDefault="00FD0D4D" w:rsidP="008C4B5B">
      <w:pPr>
        <w:spacing w:after="0" w:line="240" w:lineRule="auto"/>
        <w:rPr>
          <w:rFonts w:cstheme="minorHAnsi"/>
          <w:b/>
          <w:szCs w:val="20"/>
          <w:u w:val="single"/>
        </w:rPr>
      </w:pPr>
    </w:p>
    <w:p w14:paraId="55343F2B" w14:textId="2FC7B20D" w:rsidR="008C4B5B" w:rsidRDefault="008C4B5B" w:rsidP="008C4B5B">
      <w:pPr>
        <w:spacing w:after="0" w:line="240" w:lineRule="auto"/>
        <w:rPr>
          <w:rFonts w:cstheme="minorHAnsi"/>
          <w:szCs w:val="20"/>
        </w:rPr>
      </w:pPr>
      <w:r w:rsidRPr="00BF556C">
        <w:rPr>
          <w:rFonts w:cstheme="minorHAnsi"/>
          <w:b/>
          <w:szCs w:val="20"/>
          <w:u w:val="single"/>
        </w:rPr>
        <w:t>Notes</w:t>
      </w:r>
    </w:p>
    <w:p w14:paraId="50682D43" w14:textId="7EAF9EE4" w:rsidR="008C4B5B" w:rsidRPr="00094CEE" w:rsidRDefault="008C4B5B" w:rsidP="008C4B5B">
      <w:pPr>
        <w:spacing w:after="0" w:line="240" w:lineRule="auto"/>
        <w:rPr>
          <w:rFonts w:eastAsia="Times New Roman" w:cstheme="minorHAnsi"/>
          <w:sz w:val="20"/>
          <w:szCs w:val="20"/>
        </w:rPr>
      </w:pPr>
      <w:r>
        <w:rPr>
          <w:rFonts w:eastAsia="Times New Roman" w:cstheme="minorHAnsi"/>
          <w:b/>
          <w:sz w:val="20"/>
          <w:szCs w:val="20"/>
        </w:rPr>
        <w:t xml:space="preserve">1. Costs information. </w:t>
      </w:r>
      <w:r w:rsidR="00341F92" w:rsidRPr="00881D6F">
        <w:rPr>
          <w:rFonts w:eastAsia="Times New Roman" w:cstheme="minorHAnsi"/>
          <w:sz w:val="20"/>
          <w:szCs w:val="20"/>
        </w:rPr>
        <w:t xml:space="preserve">The assessment of the potential costs shall describe those costs quantitatively and/or qualitatively depending on what information is available. </w:t>
      </w:r>
      <w:r w:rsidR="00341F92">
        <w:rPr>
          <w:rFonts w:eastAsia="Times New Roman" w:cstheme="minorHAnsi"/>
          <w:sz w:val="20"/>
          <w:szCs w:val="20"/>
        </w:rPr>
        <w:t>This can include</w:t>
      </w:r>
      <w:r w:rsidR="00341F92" w:rsidRPr="00881D6F">
        <w:rPr>
          <w:rFonts w:eastAsia="Times New Roman" w:cstheme="minorHAnsi"/>
          <w:sz w:val="20"/>
          <w:szCs w:val="20"/>
        </w:rPr>
        <w:t xml:space="preserve"> case studies from acro</w:t>
      </w:r>
      <w:r w:rsidR="00341F92">
        <w:rPr>
          <w:rFonts w:eastAsia="Times New Roman" w:cstheme="minorHAnsi"/>
          <w:sz w:val="20"/>
          <w:szCs w:val="20"/>
        </w:rPr>
        <w:t xml:space="preserve">ss the Union or third countries. </w:t>
      </w:r>
    </w:p>
    <w:p w14:paraId="479D389C" w14:textId="77777777" w:rsidR="008C4B5B" w:rsidRDefault="008C4B5B" w:rsidP="008C4B5B">
      <w:pPr>
        <w:spacing w:after="0" w:line="240" w:lineRule="auto"/>
        <w:rPr>
          <w:rFonts w:eastAsia="Times New Roman" w:cstheme="minorHAnsi"/>
          <w:b/>
          <w:sz w:val="20"/>
          <w:szCs w:val="20"/>
        </w:rPr>
      </w:pPr>
    </w:p>
    <w:p w14:paraId="35E049E7" w14:textId="5F75A136" w:rsidR="0010292E" w:rsidRDefault="008C4B5B" w:rsidP="008C4B5B">
      <w:pPr>
        <w:spacing w:after="0" w:line="240" w:lineRule="auto"/>
        <w:rPr>
          <w:rFonts w:eastAsia="Times New Roman" w:cstheme="minorHAnsi"/>
          <w:sz w:val="20"/>
          <w:szCs w:val="20"/>
        </w:rPr>
      </w:pPr>
      <w:r>
        <w:rPr>
          <w:rFonts w:eastAsia="Times New Roman" w:cstheme="minorHAnsi"/>
          <w:b/>
          <w:sz w:val="20"/>
          <w:szCs w:val="20"/>
        </w:rPr>
        <w:t>2</w:t>
      </w:r>
      <w:r w:rsidRPr="002B6463">
        <w:rPr>
          <w:rFonts w:eastAsia="Times New Roman" w:cstheme="minorHAnsi"/>
          <w:b/>
          <w:sz w:val="20"/>
          <w:szCs w:val="20"/>
        </w:rPr>
        <w:t xml:space="preserve">. </w:t>
      </w:r>
      <w:r w:rsidR="00570230">
        <w:rPr>
          <w:rFonts w:eastAsia="Times New Roman" w:cstheme="minorHAnsi"/>
          <w:b/>
          <w:sz w:val="20"/>
          <w:szCs w:val="20"/>
        </w:rPr>
        <w:t>Level of confidence</w:t>
      </w:r>
      <w:r w:rsidR="00570230">
        <w:rPr>
          <w:rStyle w:val="FootnoteReference"/>
          <w:rFonts w:eastAsia="Times New Roman" w:cstheme="minorHAnsi"/>
          <w:b/>
          <w:sz w:val="20"/>
          <w:szCs w:val="20"/>
        </w:rPr>
        <w:footnoteReference w:id="23"/>
      </w:r>
      <w:r w:rsidR="00570230">
        <w:rPr>
          <w:rFonts w:eastAsia="Times New Roman" w:cstheme="minorHAnsi"/>
          <w:b/>
          <w:sz w:val="20"/>
          <w:szCs w:val="20"/>
        </w:rPr>
        <w:t xml:space="preserve">: </w:t>
      </w:r>
      <w:r w:rsidR="00570230" w:rsidRPr="00570230">
        <w:rPr>
          <w:rFonts w:eastAsia="Times New Roman" w:cstheme="minorHAnsi"/>
          <w:sz w:val="20"/>
          <w:szCs w:val="20"/>
        </w:rPr>
        <w:t>based on the quantity, quality and level of agreement in the evidence</w:t>
      </w:r>
      <w:r w:rsidRPr="008A2CF6">
        <w:rPr>
          <w:rFonts w:eastAsia="Times New Roman" w:cstheme="minorHAnsi"/>
          <w:sz w:val="20"/>
          <w:szCs w:val="20"/>
        </w:rPr>
        <w:t>.</w:t>
      </w:r>
    </w:p>
    <w:p w14:paraId="3EB678A6" w14:textId="77777777" w:rsidR="007C64EE" w:rsidRDefault="007C64EE" w:rsidP="008C4B5B">
      <w:pPr>
        <w:spacing w:after="0" w:line="240" w:lineRule="auto"/>
        <w:rPr>
          <w:rFonts w:eastAsia="Times New Roman"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0"/>
        <w:gridCol w:w="1993"/>
        <w:gridCol w:w="6285"/>
      </w:tblGrid>
      <w:tr w:rsidR="00C81F1E" w14:paraId="6DC53C11" w14:textId="77777777" w:rsidTr="00C81F1E">
        <w:tc>
          <w:tcPr>
            <w:tcW w:w="5680" w:type="dxa"/>
          </w:tcPr>
          <w:p w14:paraId="5F927DA2" w14:textId="79312D46" w:rsidR="00C81F1E" w:rsidRDefault="00C81F1E" w:rsidP="008C4B5B">
            <w:pPr>
              <w:rPr>
                <w:rFonts w:eastAsia="Times New Roman" w:cstheme="minorHAnsi"/>
                <w:sz w:val="20"/>
                <w:szCs w:val="20"/>
              </w:rPr>
            </w:pPr>
            <w:r>
              <w:rPr>
                <w:noProof/>
              </w:rPr>
              <w:drawing>
                <wp:inline distT="0" distB="0" distL="0" distR="0" wp14:anchorId="6EA2E265" wp14:editId="79D42237">
                  <wp:extent cx="3407434" cy="26123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8649" cy="2620964"/>
                          </a:xfrm>
                          <a:prstGeom prst="rect">
                            <a:avLst/>
                          </a:prstGeom>
                        </pic:spPr>
                      </pic:pic>
                    </a:graphicData>
                  </a:graphic>
                </wp:inline>
              </w:drawing>
            </w:r>
          </w:p>
        </w:tc>
        <w:tc>
          <w:tcPr>
            <w:tcW w:w="1993" w:type="dxa"/>
          </w:tcPr>
          <w:p w14:paraId="5C4E3F93" w14:textId="77777777" w:rsidR="00C81F1E" w:rsidRDefault="00C81F1E" w:rsidP="00C81F1E">
            <w:pPr>
              <w:rPr>
                <w:rFonts w:cstheme="minorHAnsi"/>
                <w:b/>
                <w:sz w:val="20"/>
                <w:szCs w:val="20"/>
              </w:rPr>
            </w:pPr>
          </w:p>
          <w:p w14:paraId="537618A1" w14:textId="19D99759" w:rsidR="00C81F1E" w:rsidRPr="00C81F1E" w:rsidRDefault="00C81F1E" w:rsidP="00C81F1E">
            <w:pPr>
              <w:rPr>
                <w:rFonts w:cstheme="minorHAnsi"/>
                <w:b/>
                <w:sz w:val="20"/>
                <w:szCs w:val="20"/>
              </w:rPr>
            </w:pPr>
            <w:r>
              <w:rPr>
                <w:noProof/>
              </w:rPr>
              <w:drawing>
                <wp:inline distT="0" distB="0" distL="0" distR="0" wp14:anchorId="4B8FE7CE" wp14:editId="0CB379A4">
                  <wp:extent cx="1128827" cy="163245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8994" cy="1647160"/>
                          </a:xfrm>
                          <a:prstGeom prst="rect">
                            <a:avLst/>
                          </a:prstGeom>
                        </pic:spPr>
                      </pic:pic>
                    </a:graphicData>
                  </a:graphic>
                </wp:inline>
              </w:drawing>
            </w:r>
          </w:p>
        </w:tc>
        <w:tc>
          <w:tcPr>
            <w:tcW w:w="6285" w:type="dxa"/>
          </w:tcPr>
          <w:p w14:paraId="6013740E" w14:textId="7449EF81" w:rsidR="00C81F1E" w:rsidRDefault="00C81F1E" w:rsidP="007C64EE">
            <w:pPr>
              <w:pStyle w:val="ListParagraph"/>
              <w:numPr>
                <w:ilvl w:val="0"/>
                <w:numId w:val="3"/>
              </w:numPr>
              <w:rPr>
                <w:rFonts w:cstheme="minorHAnsi"/>
                <w:sz w:val="20"/>
                <w:szCs w:val="20"/>
              </w:rPr>
            </w:pPr>
            <w:r>
              <w:rPr>
                <w:rFonts w:cstheme="minorHAnsi"/>
                <w:b/>
                <w:sz w:val="20"/>
                <w:szCs w:val="20"/>
              </w:rPr>
              <w:t>Well established</w:t>
            </w:r>
            <w:r w:rsidRPr="00D137A3">
              <w:rPr>
                <w:rFonts w:cstheme="minorHAnsi"/>
                <w:sz w:val="20"/>
                <w:szCs w:val="20"/>
              </w:rPr>
              <w:t>:</w:t>
            </w:r>
            <w:r w:rsidRPr="00570230">
              <w:t xml:space="preserve"> </w:t>
            </w:r>
            <w:r w:rsidRPr="00570230">
              <w:rPr>
                <w:rFonts w:eastAsia="Times New Roman" w:cstheme="minorHAnsi"/>
                <w:sz w:val="20"/>
                <w:szCs w:val="20"/>
              </w:rPr>
              <w:t>comprehensive meta-analysis</w:t>
            </w:r>
            <w:r w:rsidRPr="00570230">
              <w:rPr>
                <w:rFonts w:eastAsia="Times New Roman" w:cstheme="minorHAnsi"/>
                <w:sz w:val="20"/>
                <w:szCs w:val="20"/>
                <w:vertAlign w:val="superscript"/>
              </w:rPr>
              <w:footnoteReference w:id="24"/>
            </w:r>
            <w:r w:rsidRPr="00570230">
              <w:rPr>
                <w:rFonts w:eastAsia="Times New Roman" w:cstheme="minorHAnsi"/>
                <w:sz w:val="20"/>
                <w:szCs w:val="20"/>
              </w:rPr>
              <w:t xml:space="preserve"> or other synthesis or multiple independent studies that agree</w:t>
            </w:r>
            <w:r w:rsidRPr="00D137A3">
              <w:rPr>
                <w:rFonts w:cstheme="minorHAnsi"/>
                <w:sz w:val="20"/>
                <w:szCs w:val="20"/>
              </w:rPr>
              <w:t xml:space="preserve">. </w:t>
            </w:r>
          </w:p>
          <w:p w14:paraId="5EFC594C" w14:textId="77777777" w:rsidR="00C81F1E" w:rsidRPr="00D137A3" w:rsidRDefault="00C81F1E" w:rsidP="007C64EE">
            <w:pPr>
              <w:pStyle w:val="ListParagraph"/>
              <w:rPr>
                <w:rFonts w:cstheme="minorHAnsi"/>
                <w:sz w:val="20"/>
                <w:szCs w:val="20"/>
              </w:rPr>
            </w:pPr>
          </w:p>
          <w:p w14:paraId="65581F8A" w14:textId="088BBFD5" w:rsidR="00C81F1E" w:rsidRPr="007C64EE" w:rsidRDefault="00C81F1E" w:rsidP="007C64EE">
            <w:pPr>
              <w:pStyle w:val="ListParagraph"/>
              <w:numPr>
                <w:ilvl w:val="0"/>
                <w:numId w:val="3"/>
              </w:numPr>
              <w:rPr>
                <w:rFonts w:cstheme="minorHAnsi"/>
                <w:sz w:val="20"/>
                <w:szCs w:val="20"/>
              </w:rPr>
            </w:pPr>
            <w:r>
              <w:rPr>
                <w:rFonts w:cstheme="minorHAnsi"/>
                <w:b/>
                <w:sz w:val="20"/>
                <w:szCs w:val="20"/>
              </w:rPr>
              <w:t>Established but incomplete</w:t>
            </w:r>
            <w:r w:rsidRPr="00D137A3">
              <w:rPr>
                <w:rFonts w:cstheme="minorHAnsi"/>
                <w:sz w:val="20"/>
                <w:szCs w:val="20"/>
              </w:rPr>
              <w:t xml:space="preserve">: </w:t>
            </w:r>
            <w:r w:rsidRPr="00570230">
              <w:rPr>
                <w:rFonts w:eastAsia="Times New Roman" w:cstheme="minorHAnsi"/>
                <w:sz w:val="20"/>
                <w:szCs w:val="20"/>
              </w:rPr>
              <w:t>general agreement although only a limited number of studies exist but no comprehensive synthesis and</w:t>
            </w:r>
            <w:r w:rsidR="0082400C">
              <w:rPr>
                <w:rFonts w:eastAsia="Times New Roman" w:cstheme="minorHAnsi"/>
                <w:sz w:val="20"/>
                <w:szCs w:val="20"/>
              </w:rPr>
              <w:t>/</w:t>
            </w:r>
            <w:r w:rsidRPr="00570230">
              <w:rPr>
                <w:rFonts w:eastAsia="Times New Roman" w:cstheme="minorHAnsi"/>
                <w:sz w:val="20"/>
                <w:szCs w:val="20"/>
              </w:rPr>
              <w:t>or the studies that exist imprecisely address the question.</w:t>
            </w:r>
          </w:p>
          <w:p w14:paraId="11FAB1FF" w14:textId="77777777" w:rsidR="00C81F1E" w:rsidRPr="00D137A3" w:rsidRDefault="00C81F1E" w:rsidP="007C64EE">
            <w:pPr>
              <w:pStyle w:val="ListParagraph"/>
              <w:rPr>
                <w:rFonts w:cstheme="minorHAnsi"/>
                <w:sz w:val="20"/>
                <w:szCs w:val="20"/>
              </w:rPr>
            </w:pPr>
          </w:p>
          <w:p w14:paraId="00BEE4E7" w14:textId="77777777" w:rsidR="00C81F1E" w:rsidRDefault="00C81F1E" w:rsidP="007C64EE">
            <w:pPr>
              <w:pStyle w:val="ListParagraph"/>
              <w:numPr>
                <w:ilvl w:val="0"/>
                <w:numId w:val="3"/>
              </w:numPr>
              <w:rPr>
                <w:rFonts w:eastAsia="Times New Roman" w:cstheme="minorHAnsi"/>
                <w:sz w:val="20"/>
                <w:szCs w:val="20"/>
              </w:rPr>
            </w:pPr>
            <w:r>
              <w:rPr>
                <w:rFonts w:cstheme="minorHAnsi"/>
                <w:b/>
                <w:sz w:val="20"/>
                <w:szCs w:val="20"/>
              </w:rPr>
              <w:t>Unresolved</w:t>
            </w:r>
            <w:r w:rsidRPr="00D137A3">
              <w:rPr>
                <w:rFonts w:cstheme="minorHAnsi"/>
                <w:sz w:val="20"/>
                <w:szCs w:val="20"/>
              </w:rPr>
              <w:t xml:space="preserve">: </w:t>
            </w:r>
            <w:r w:rsidRPr="00570230">
              <w:rPr>
                <w:rFonts w:eastAsia="Times New Roman" w:cstheme="minorHAnsi"/>
                <w:sz w:val="20"/>
                <w:szCs w:val="20"/>
              </w:rPr>
              <w:t>multiple independent studies exist but conclusions do not agree.</w:t>
            </w:r>
          </w:p>
          <w:p w14:paraId="598B4100" w14:textId="77777777" w:rsidR="00C81F1E" w:rsidRPr="00570230" w:rsidRDefault="00C81F1E" w:rsidP="007C64EE">
            <w:pPr>
              <w:pStyle w:val="ListParagraph"/>
              <w:rPr>
                <w:rFonts w:eastAsia="Times New Roman" w:cstheme="minorHAnsi"/>
                <w:sz w:val="20"/>
                <w:szCs w:val="20"/>
              </w:rPr>
            </w:pPr>
          </w:p>
          <w:p w14:paraId="36601762" w14:textId="77777777" w:rsidR="00C81F1E" w:rsidRPr="000E4124" w:rsidRDefault="00C81F1E" w:rsidP="007C64EE">
            <w:pPr>
              <w:pStyle w:val="ListParagraph"/>
              <w:numPr>
                <w:ilvl w:val="0"/>
                <w:numId w:val="3"/>
              </w:numPr>
              <w:rPr>
                <w:rFonts w:cstheme="minorHAnsi"/>
                <w:sz w:val="20"/>
                <w:szCs w:val="20"/>
              </w:rPr>
            </w:pPr>
            <w:r>
              <w:rPr>
                <w:rFonts w:cstheme="minorHAnsi"/>
                <w:b/>
                <w:sz w:val="20"/>
                <w:szCs w:val="20"/>
              </w:rPr>
              <w:t>Inconclusive</w:t>
            </w:r>
            <w:r w:rsidRPr="00570230">
              <w:rPr>
                <w:rFonts w:cstheme="minorHAnsi"/>
                <w:sz w:val="20"/>
                <w:szCs w:val="20"/>
              </w:rPr>
              <w:t>:</w:t>
            </w:r>
            <w:r>
              <w:rPr>
                <w:rFonts w:cstheme="minorHAnsi"/>
                <w:sz w:val="20"/>
                <w:szCs w:val="20"/>
              </w:rPr>
              <w:t xml:space="preserve"> </w:t>
            </w:r>
            <w:r w:rsidRPr="00570230">
              <w:rPr>
                <w:rFonts w:eastAsia="Times New Roman" w:cstheme="minorHAnsi"/>
                <w:sz w:val="20"/>
                <w:szCs w:val="20"/>
              </w:rPr>
              <w:t>limited evidence, recognising major knowledge gaps</w:t>
            </w:r>
          </w:p>
          <w:p w14:paraId="742E7B83" w14:textId="77777777" w:rsidR="00C81F1E" w:rsidRDefault="00C81F1E" w:rsidP="008C4B5B">
            <w:pPr>
              <w:rPr>
                <w:rFonts w:eastAsia="Times New Roman" w:cstheme="minorHAnsi"/>
                <w:sz w:val="20"/>
                <w:szCs w:val="20"/>
              </w:rPr>
            </w:pPr>
          </w:p>
          <w:p w14:paraId="36454A20" w14:textId="77777777" w:rsidR="00C81F1E" w:rsidRDefault="00C81F1E" w:rsidP="008C4B5B">
            <w:pPr>
              <w:rPr>
                <w:rFonts w:eastAsia="Times New Roman" w:cstheme="minorHAnsi"/>
                <w:sz w:val="20"/>
                <w:szCs w:val="20"/>
              </w:rPr>
            </w:pPr>
          </w:p>
          <w:p w14:paraId="1B397915" w14:textId="77777777" w:rsidR="00C81F1E" w:rsidRDefault="00C81F1E" w:rsidP="008C4B5B">
            <w:pPr>
              <w:rPr>
                <w:rFonts w:eastAsia="Times New Roman" w:cstheme="minorHAnsi"/>
                <w:sz w:val="20"/>
                <w:szCs w:val="20"/>
              </w:rPr>
            </w:pPr>
          </w:p>
          <w:p w14:paraId="06E6CABD" w14:textId="77777777" w:rsidR="00C81F1E" w:rsidRDefault="00C81F1E" w:rsidP="008C4B5B">
            <w:pPr>
              <w:rPr>
                <w:rFonts w:eastAsia="Times New Roman" w:cstheme="minorHAnsi"/>
                <w:sz w:val="20"/>
                <w:szCs w:val="20"/>
              </w:rPr>
            </w:pPr>
          </w:p>
          <w:p w14:paraId="11EA8A38" w14:textId="77777777" w:rsidR="00C81F1E" w:rsidRDefault="00C81F1E" w:rsidP="008C4B5B">
            <w:pPr>
              <w:rPr>
                <w:rFonts w:eastAsia="Times New Roman" w:cstheme="minorHAnsi"/>
                <w:sz w:val="20"/>
                <w:szCs w:val="20"/>
              </w:rPr>
            </w:pPr>
          </w:p>
        </w:tc>
      </w:tr>
    </w:tbl>
    <w:p w14:paraId="52E2D4A4" w14:textId="77777777" w:rsidR="007C64EE" w:rsidRDefault="007C64EE" w:rsidP="008C4B5B">
      <w:pPr>
        <w:pStyle w:val="Default"/>
        <w:rPr>
          <w:rFonts w:asciiTheme="minorHAnsi" w:eastAsia="Times New Roman" w:hAnsiTheme="minorHAnsi" w:cstheme="minorHAnsi"/>
          <w:color w:val="auto"/>
          <w:sz w:val="20"/>
          <w:szCs w:val="20"/>
        </w:rPr>
      </w:pPr>
    </w:p>
    <w:p w14:paraId="630481AD" w14:textId="77777777" w:rsidR="007C64EE" w:rsidRDefault="007C64EE" w:rsidP="008C4B5B">
      <w:pPr>
        <w:pStyle w:val="Default"/>
        <w:rPr>
          <w:rFonts w:asciiTheme="minorHAnsi" w:eastAsia="Times New Roman" w:hAnsiTheme="minorHAnsi" w:cstheme="minorHAnsi"/>
          <w:sz w:val="20"/>
          <w:szCs w:val="20"/>
        </w:rPr>
      </w:pPr>
    </w:p>
    <w:p w14:paraId="771E0234" w14:textId="77777777" w:rsidR="008C4B5B" w:rsidRPr="00EA4F7D" w:rsidRDefault="008C4B5B" w:rsidP="008C4B5B">
      <w:pPr>
        <w:spacing w:after="0" w:line="240" w:lineRule="auto"/>
        <w:rPr>
          <w:rFonts w:cstheme="minorHAnsi"/>
          <w:sz w:val="20"/>
          <w:szCs w:val="20"/>
        </w:rPr>
      </w:pPr>
      <w:r>
        <w:rPr>
          <w:rFonts w:cstheme="minorHAnsi"/>
          <w:b/>
          <w:sz w:val="20"/>
          <w:szCs w:val="20"/>
        </w:rPr>
        <w:t>3</w:t>
      </w:r>
      <w:r w:rsidRPr="002B6463">
        <w:rPr>
          <w:rFonts w:cstheme="minorHAnsi"/>
          <w:b/>
          <w:sz w:val="20"/>
          <w:szCs w:val="20"/>
        </w:rPr>
        <w:t>. Citations and bibliography</w:t>
      </w:r>
      <w:r>
        <w:rPr>
          <w:rFonts w:cstheme="minorHAnsi"/>
          <w:sz w:val="20"/>
          <w:szCs w:val="20"/>
        </w:rPr>
        <w:t>. The</w:t>
      </w:r>
      <w:r w:rsidRPr="00EA4F7D">
        <w:rPr>
          <w:rFonts w:cstheme="minorHAnsi"/>
          <w:sz w:val="20"/>
          <w:szCs w:val="20"/>
        </w:rPr>
        <w:t xml:space="preserve"> APA formatting style for citing references in the text and in the bibliography</w:t>
      </w:r>
      <w:r>
        <w:rPr>
          <w:rFonts w:cstheme="minorHAnsi"/>
          <w:sz w:val="20"/>
          <w:szCs w:val="20"/>
        </w:rPr>
        <w:t xml:space="preserve"> is used</w:t>
      </w:r>
      <w:r w:rsidRPr="00EA4F7D">
        <w:rPr>
          <w:rFonts w:cstheme="minorHAnsi"/>
          <w:sz w:val="20"/>
          <w:szCs w:val="20"/>
        </w:rPr>
        <w:t>.</w:t>
      </w:r>
    </w:p>
    <w:p w14:paraId="55478012" w14:textId="77777777" w:rsidR="008C4B5B" w:rsidRDefault="008C4B5B" w:rsidP="008C4B5B">
      <w:pPr>
        <w:spacing w:after="0" w:line="240" w:lineRule="auto"/>
        <w:rPr>
          <w:rFonts w:cstheme="minorHAnsi"/>
          <w:sz w:val="20"/>
          <w:szCs w:val="20"/>
        </w:rPr>
      </w:pPr>
      <w:proofErr w:type="gramStart"/>
      <w:r w:rsidRPr="00EA4F7D">
        <w:rPr>
          <w:rFonts w:cstheme="minorHAnsi"/>
          <w:sz w:val="20"/>
          <w:szCs w:val="20"/>
        </w:rPr>
        <w:t>e.g.</w:t>
      </w:r>
      <w:proofErr w:type="gramEnd"/>
      <w:r w:rsidRPr="00EA4F7D">
        <w:rPr>
          <w:rFonts w:cstheme="minorHAnsi"/>
          <w:sz w:val="20"/>
          <w:szCs w:val="20"/>
        </w:rPr>
        <w:t xml:space="preserve"> Peer review papers will be written as follows</w:t>
      </w:r>
      <w:r>
        <w:rPr>
          <w:rFonts w:cstheme="minorHAnsi"/>
          <w:sz w:val="20"/>
          <w:szCs w:val="20"/>
        </w:rPr>
        <w:t>:</w:t>
      </w:r>
    </w:p>
    <w:p w14:paraId="3309240E" w14:textId="77777777" w:rsidR="008C4B5B" w:rsidRPr="00EA4F7D" w:rsidRDefault="008C4B5B" w:rsidP="008C4B5B">
      <w:pPr>
        <w:spacing w:after="0" w:line="240" w:lineRule="auto"/>
        <w:rPr>
          <w:rFonts w:cstheme="minorHAnsi"/>
          <w:sz w:val="20"/>
          <w:szCs w:val="20"/>
        </w:rPr>
      </w:pPr>
      <w:r>
        <w:rPr>
          <w:rFonts w:cstheme="minorHAnsi"/>
          <w:sz w:val="20"/>
          <w:szCs w:val="20"/>
        </w:rPr>
        <w:t>In text citation: (Author &amp; Author, Year)</w:t>
      </w:r>
    </w:p>
    <w:p w14:paraId="325452DE" w14:textId="744B0FA3" w:rsidR="007D55A0" w:rsidRPr="00881D6F" w:rsidRDefault="008C4B5B" w:rsidP="003F77F5">
      <w:pPr>
        <w:spacing w:after="0" w:line="360" w:lineRule="auto"/>
        <w:rPr>
          <w:rFonts w:cs="Calibri"/>
          <w:b/>
          <w:color w:val="000000"/>
          <w:sz w:val="24"/>
          <w:szCs w:val="24"/>
        </w:rPr>
      </w:pPr>
      <w:r>
        <w:rPr>
          <w:rFonts w:cstheme="minorHAnsi"/>
          <w:sz w:val="20"/>
          <w:szCs w:val="20"/>
        </w:rPr>
        <w:t xml:space="preserve">In bibliography: </w:t>
      </w:r>
      <w:r w:rsidRPr="00EA4F7D">
        <w:rPr>
          <w:rFonts w:cstheme="minorHAnsi"/>
          <w:sz w:val="20"/>
          <w:szCs w:val="20"/>
        </w:rPr>
        <w:t xml:space="preserve">Author, A. A., &amp; Author, B. B. (Publication Year). Article title. </w:t>
      </w:r>
      <w:r w:rsidRPr="002B6463">
        <w:rPr>
          <w:rFonts w:cstheme="minorHAnsi"/>
          <w:i/>
          <w:sz w:val="20"/>
          <w:szCs w:val="20"/>
        </w:rPr>
        <w:t>Periodical Title</w:t>
      </w:r>
      <w:r w:rsidRPr="00EA4F7D">
        <w:rPr>
          <w:rFonts w:cstheme="minorHAnsi"/>
          <w:sz w:val="20"/>
          <w:szCs w:val="20"/>
        </w:rPr>
        <w:t xml:space="preserve">, </w:t>
      </w:r>
      <w:proofErr w:type="gramStart"/>
      <w:r w:rsidRPr="00EA4F7D">
        <w:rPr>
          <w:rFonts w:cstheme="minorHAnsi"/>
          <w:sz w:val="20"/>
          <w:szCs w:val="20"/>
        </w:rPr>
        <w:t>Volume(</w:t>
      </w:r>
      <w:proofErr w:type="gramEnd"/>
      <w:r w:rsidRPr="00EA4F7D">
        <w:rPr>
          <w:rFonts w:cstheme="minorHAnsi"/>
          <w:sz w:val="20"/>
          <w:szCs w:val="20"/>
        </w:rPr>
        <w:t xml:space="preserve">Issue), pp.-pp. </w:t>
      </w:r>
      <w:r w:rsidRPr="00EA4F7D">
        <w:rPr>
          <w:rFonts w:cstheme="minorHAnsi"/>
          <w:sz w:val="20"/>
          <w:szCs w:val="20"/>
        </w:rPr>
        <w:br/>
        <w:t>(see http://www.waikato.ac.nz/library/study/referencing/styles/apa)</w:t>
      </w:r>
    </w:p>
    <w:sectPr w:rsidR="007D55A0" w:rsidRPr="00881D6F" w:rsidSect="000D1AA8">
      <w:footerReference w:type="default" r:id="rId11"/>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9BA6" w14:textId="77777777" w:rsidR="00853F36" w:rsidRDefault="00853F36" w:rsidP="000F2A4C">
      <w:pPr>
        <w:spacing w:after="0" w:line="240" w:lineRule="auto"/>
      </w:pPr>
      <w:r>
        <w:separator/>
      </w:r>
    </w:p>
  </w:endnote>
  <w:endnote w:type="continuationSeparator" w:id="0">
    <w:p w14:paraId="037B99BA" w14:textId="77777777" w:rsidR="00853F36" w:rsidRDefault="00853F36"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8512"/>
      <w:docPartObj>
        <w:docPartGallery w:val="Page Numbers (Bottom of Page)"/>
        <w:docPartUnique/>
      </w:docPartObj>
    </w:sdtPr>
    <w:sdtEndPr>
      <w:rPr>
        <w:noProof/>
      </w:rPr>
    </w:sdtEndPr>
    <w:sdtContent>
      <w:p w14:paraId="0CA1236A" w14:textId="3107119C" w:rsidR="00822455" w:rsidRDefault="00822455">
        <w:pPr>
          <w:pStyle w:val="Footer"/>
          <w:jc w:val="right"/>
        </w:pPr>
        <w:r>
          <w:fldChar w:fldCharType="begin"/>
        </w:r>
        <w:r>
          <w:instrText xml:space="preserve"> PAGE   \* MERGEFORMAT </w:instrText>
        </w:r>
        <w:r>
          <w:fldChar w:fldCharType="separate"/>
        </w:r>
        <w:r w:rsidR="001311D6">
          <w:rPr>
            <w:noProof/>
          </w:rPr>
          <w:t>24</w:t>
        </w:r>
        <w:r>
          <w:rPr>
            <w:noProof/>
          </w:rPr>
          <w:fldChar w:fldCharType="end"/>
        </w:r>
      </w:p>
    </w:sdtContent>
  </w:sdt>
  <w:p w14:paraId="05D94000" w14:textId="77777777" w:rsidR="00822455" w:rsidRDefault="0082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8729" w14:textId="77777777" w:rsidR="00853F36" w:rsidRDefault="00853F36" w:rsidP="000F2A4C">
      <w:pPr>
        <w:spacing w:after="0" w:line="240" w:lineRule="auto"/>
      </w:pPr>
      <w:r>
        <w:separator/>
      </w:r>
    </w:p>
  </w:footnote>
  <w:footnote w:type="continuationSeparator" w:id="0">
    <w:p w14:paraId="37608D93" w14:textId="77777777" w:rsidR="00853F36" w:rsidRDefault="00853F36" w:rsidP="000F2A4C">
      <w:pPr>
        <w:spacing w:after="0" w:line="240" w:lineRule="auto"/>
      </w:pPr>
      <w:r>
        <w:continuationSeparator/>
      </w:r>
    </w:p>
  </w:footnote>
  <w:footnote w:id="1">
    <w:p w14:paraId="5485A1C0" w14:textId="586E8ACD" w:rsidR="00822455" w:rsidRPr="005E44ED" w:rsidRDefault="00822455" w:rsidP="005E44ED">
      <w:pPr>
        <w:spacing w:after="0" w:line="240" w:lineRule="auto"/>
        <w:rPr>
          <w:i/>
        </w:rPr>
      </w:pPr>
      <w:r>
        <w:rPr>
          <w:rStyle w:val="FootnoteReference"/>
        </w:rPr>
        <w:footnoteRef/>
      </w:r>
      <w:r>
        <w:t xml:space="preserve"> </w:t>
      </w:r>
      <w:hyperlink r:id="rId1" w:history="1">
        <w:r w:rsidRPr="00E96C5B">
          <w:rPr>
            <w:rStyle w:val="Hyperlink"/>
            <w:sz w:val="20"/>
          </w:rPr>
          <w:t>http://www.imo.org/en/OurWork/Environment/BallastWaterManagement/Pages/BWMTechnologies.aspx</w:t>
        </w:r>
      </w:hyperlink>
    </w:p>
  </w:footnote>
  <w:footnote w:id="2">
    <w:p w14:paraId="4592BD31" w14:textId="3A0CBDE9" w:rsidR="00822455" w:rsidRDefault="00822455" w:rsidP="005E44ED">
      <w:pPr>
        <w:pStyle w:val="FootnoteText"/>
      </w:pPr>
      <w:r>
        <w:rPr>
          <w:rStyle w:val="FootnoteReference"/>
        </w:rPr>
        <w:footnoteRef/>
      </w:r>
      <w:r>
        <w:t xml:space="preserve"> </w:t>
      </w:r>
      <w:hyperlink r:id="rId2" w:history="1">
        <w:r w:rsidRPr="005A0032">
          <w:rPr>
            <w:rStyle w:val="Hyperlink"/>
          </w:rPr>
          <w:t>http://www.imo.org/en/About/Conventions/StatusOfConventions/Pages/Default.aspx</w:t>
        </w:r>
      </w:hyperlink>
    </w:p>
  </w:footnote>
  <w:footnote w:id="3">
    <w:p w14:paraId="09BCFCF2" w14:textId="41864ED9" w:rsidR="00822455" w:rsidRDefault="00822455">
      <w:pPr>
        <w:pStyle w:val="FootnoteText"/>
      </w:pPr>
      <w:r>
        <w:rPr>
          <w:rStyle w:val="FootnoteReference"/>
        </w:rPr>
        <w:footnoteRef/>
      </w:r>
      <w:r>
        <w:t xml:space="preserve"> </w:t>
      </w:r>
      <w:hyperlink r:id="rId3" w:history="1">
        <w:r w:rsidRPr="005A0032">
          <w:rPr>
            <w:rStyle w:val="Hyperlink"/>
          </w:rPr>
          <w:t>https://www.ballastwatermanagement.co.uk/news/view,counting-the-cost-of-ballast-treatment_42146.htm</w:t>
        </w:r>
      </w:hyperlink>
    </w:p>
  </w:footnote>
  <w:footnote w:id="4">
    <w:p w14:paraId="6550200C" w14:textId="77777777" w:rsidR="00822455" w:rsidRPr="005E44ED" w:rsidRDefault="00822455" w:rsidP="00FC385B">
      <w:pPr>
        <w:spacing w:after="0" w:line="240" w:lineRule="auto"/>
        <w:rPr>
          <w:i/>
        </w:rPr>
      </w:pPr>
      <w:r>
        <w:rPr>
          <w:rStyle w:val="FootnoteReference"/>
        </w:rPr>
        <w:footnoteRef/>
      </w:r>
      <w:r>
        <w:t xml:space="preserve"> </w:t>
      </w:r>
      <w:hyperlink r:id="rId4" w:history="1">
        <w:r w:rsidRPr="005C491B">
          <w:rPr>
            <w:rStyle w:val="Hyperlink"/>
            <w:sz w:val="20"/>
            <w:szCs w:val="20"/>
          </w:rPr>
          <w:t>http://www.imo.org/en/OurWork/Environment/Biofouling/Documents/RESOLUTION%20MEPC.207[62].pdf</w:t>
        </w:r>
      </w:hyperlink>
    </w:p>
  </w:footnote>
  <w:footnote w:id="5">
    <w:p w14:paraId="35E365A0" w14:textId="77777777" w:rsidR="00822455" w:rsidRPr="005E44ED" w:rsidRDefault="00822455" w:rsidP="00DD2446">
      <w:pPr>
        <w:spacing w:after="0" w:line="240" w:lineRule="auto"/>
        <w:rPr>
          <w:i/>
        </w:rPr>
      </w:pPr>
      <w:r>
        <w:rPr>
          <w:rStyle w:val="FootnoteReference"/>
        </w:rPr>
        <w:footnoteRef/>
      </w:r>
      <w:r>
        <w:t xml:space="preserve"> </w:t>
      </w:r>
      <w:r w:rsidRPr="00673B1B">
        <w:rPr>
          <w:sz w:val="20"/>
          <w:szCs w:val="20"/>
        </w:rPr>
        <w:t>http://www.imo.org/en/OurWork/Environment/Anti-foulingSystems/Pages/Default.aspx</w:t>
      </w:r>
    </w:p>
  </w:footnote>
  <w:footnote w:id="6">
    <w:p w14:paraId="622A7DFD" w14:textId="6C924ADA" w:rsidR="00822455" w:rsidRPr="005E44ED" w:rsidRDefault="00822455" w:rsidP="009E4DBE">
      <w:pPr>
        <w:spacing w:after="0" w:line="240" w:lineRule="auto"/>
        <w:rPr>
          <w:i/>
        </w:rPr>
      </w:pPr>
      <w:r>
        <w:rPr>
          <w:rStyle w:val="FootnoteReference"/>
        </w:rPr>
        <w:footnoteRef/>
      </w:r>
      <w:r>
        <w:t xml:space="preserve"> </w:t>
      </w:r>
      <w:r w:rsidRPr="009E4DBE">
        <w:rPr>
          <w:sz w:val="20"/>
          <w:szCs w:val="20"/>
        </w:rPr>
        <w:t>http://www.imo.org/en/OurWork/Environment/MajorProjects/Pages/GloFouling-Project.aspx</w:t>
      </w:r>
    </w:p>
  </w:footnote>
  <w:footnote w:id="7">
    <w:p w14:paraId="414E7A9D" w14:textId="195E4C2D" w:rsidR="00822455" w:rsidRPr="005E44ED" w:rsidRDefault="00822455" w:rsidP="00665A76">
      <w:pPr>
        <w:spacing w:after="0" w:line="240" w:lineRule="auto"/>
        <w:rPr>
          <w:i/>
        </w:rPr>
      </w:pPr>
      <w:r>
        <w:rPr>
          <w:rStyle w:val="FootnoteReference"/>
        </w:rPr>
        <w:footnoteRef/>
      </w:r>
      <w:r>
        <w:t xml:space="preserve"> </w:t>
      </w:r>
      <w:r w:rsidRPr="00665A76">
        <w:rPr>
          <w:sz w:val="20"/>
          <w:szCs w:val="20"/>
        </w:rPr>
        <w:t>http://www.imo.org/en/OurWork/Environment/Biofouling/Documents/MEPC.1-Circ.792.pdf</w:t>
      </w:r>
    </w:p>
  </w:footnote>
  <w:footnote w:id="8">
    <w:p w14:paraId="04C3CA8E" w14:textId="6F2CE845" w:rsidR="00822455" w:rsidRPr="005E44ED" w:rsidRDefault="00822455" w:rsidP="005E06EC">
      <w:pPr>
        <w:spacing w:after="0" w:line="240" w:lineRule="auto"/>
        <w:rPr>
          <w:i/>
        </w:rPr>
      </w:pPr>
      <w:r>
        <w:rPr>
          <w:rStyle w:val="FootnoteReference"/>
        </w:rPr>
        <w:footnoteRef/>
      </w:r>
      <w:r>
        <w:t xml:space="preserve"> </w:t>
      </w:r>
      <w:r w:rsidRPr="005E06EC">
        <w:rPr>
          <w:sz w:val="20"/>
          <w:szCs w:val="20"/>
        </w:rPr>
        <w:t>https://www.ices.dk/sites/pub/Publication%20Reports/Advice/2019/2019/vp.2019.01.pdf</w:t>
      </w:r>
    </w:p>
  </w:footnote>
  <w:footnote w:id="9">
    <w:p w14:paraId="403C542E" w14:textId="0D40D010" w:rsidR="00822455" w:rsidRPr="005E44ED" w:rsidRDefault="00822455" w:rsidP="006311CD">
      <w:pPr>
        <w:spacing w:after="0" w:line="240" w:lineRule="auto"/>
        <w:rPr>
          <w:i/>
        </w:rPr>
      </w:pPr>
      <w:r>
        <w:rPr>
          <w:rStyle w:val="FootnoteReference"/>
        </w:rPr>
        <w:footnoteRef/>
      </w:r>
      <w:r>
        <w:t xml:space="preserve"> </w:t>
      </w:r>
      <w:hyperlink r:id="rId5" w:history="1">
        <w:r w:rsidRPr="006311CD">
          <w:rPr>
            <w:rStyle w:val="Hyperlink"/>
            <w:sz w:val="20"/>
            <w:szCs w:val="20"/>
          </w:rPr>
          <w:t>https://rm.coe.int/1680746815</w:t>
        </w:r>
      </w:hyperlink>
    </w:p>
  </w:footnote>
  <w:footnote w:id="10">
    <w:p w14:paraId="29041077" w14:textId="53047F07" w:rsidR="00822455" w:rsidRDefault="00822455" w:rsidP="00412EB4">
      <w:pPr>
        <w:pStyle w:val="FootnoteText"/>
      </w:pPr>
      <w:r>
        <w:rPr>
          <w:rStyle w:val="FootnoteReference"/>
        </w:rPr>
        <w:footnoteRef/>
      </w:r>
      <w:r>
        <w:t xml:space="preserve"> </w:t>
      </w:r>
      <w:r w:rsidRPr="00412EB4">
        <w:t>http://ec.europa.eu/environment/life/project/Projects/index.cfm?fuseaction=home.showFile&amp;rep=file&amp;fil=ECOTEC_Clean_Ship_Hulls_and_Ports.pdf</w:t>
      </w:r>
    </w:p>
  </w:footnote>
  <w:footnote w:id="11">
    <w:p w14:paraId="34F4A1C2" w14:textId="048110CA" w:rsidR="00822455" w:rsidRDefault="00822455" w:rsidP="002961C5">
      <w:pPr>
        <w:pStyle w:val="FootnoteText"/>
      </w:pPr>
      <w:r>
        <w:rPr>
          <w:rStyle w:val="FootnoteReference"/>
        </w:rPr>
        <w:footnoteRef/>
      </w:r>
      <w:r>
        <w:t xml:space="preserve"> </w:t>
      </w:r>
      <w:hyperlink r:id="rId6" w:history="1">
        <w:r>
          <w:rPr>
            <w:rStyle w:val="Hyperlink"/>
          </w:rPr>
          <w:t>http://www.nonnativespecies.org/checkcleandry/</w:t>
        </w:r>
      </w:hyperlink>
    </w:p>
  </w:footnote>
  <w:footnote w:id="12">
    <w:p w14:paraId="27EE62A6" w14:textId="77777777" w:rsidR="00822455" w:rsidRDefault="00822455" w:rsidP="002961C5">
      <w:pPr>
        <w:pStyle w:val="FootnoteText"/>
      </w:pPr>
      <w:r>
        <w:rPr>
          <w:rStyle w:val="FootnoteReference"/>
        </w:rPr>
        <w:footnoteRef/>
      </w:r>
      <w:r>
        <w:t xml:space="preserve"> </w:t>
      </w:r>
      <w:r w:rsidRPr="00C31187">
        <w:t>https://www.cbsm.com/cases/22699-the-check-clean-dry-campaign</w:t>
      </w:r>
    </w:p>
  </w:footnote>
  <w:footnote w:id="13">
    <w:p w14:paraId="7F4B459B" w14:textId="77777777" w:rsidR="00822455" w:rsidRDefault="00822455" w:rsidP="002961C5">
      <w:pPr>
        <w:pStyle w:val="FootnoteText"/>
      </w:pPr>
      <w:r>
        <w:rPr>
          <w:rStyle w:val="FootnoteReference"/>
        </w:rPr>
        <w:footnoteRef/>
      </w:r>
      <w:r>
        <w:t xml:space="preserve"> </w:t>
      </w:r>
      <w:r w:rsidRPr="00C31187">
        <w:t>https://www.cbsm.com/cases/22699-the-check-clean-dry-campaign</w:t>
      </w:r>
    </w:p>
  </w:footnote>
  <w:footnote w:id="14">
    <w:p w14:paraId="05BA3A35" w14:textId="77777777" w:rsidR="00822455" w:rsidRDefault="00822455" w:rsidP="002961C5">
      <w:pPr>
        <w:pStyle w:val="FootnoteText"/>
      </w:pPr>
      <w:r>
        <w:rPr>
          <w:rStyle w:val="FootnoteReference"/>
        </w:rPr>
        <w:footnoteRef/>
      </w:r>
      <w:r>
        <w:t xml:space="preserve"> </w:t>
      </w:r>
      <w:r w:rsidRPr="002522B4">
        <w:t>http://www.nonnativespecies.org/index.cfm?sectionid=140</w:t>
      </w:r>
    </w:p>
  </w:footnote>
  <w:footnote w:id="15">
    <w:p w14:paraId="5457B023" w14:textId="77777777" w:rsidR="00822455" w:rsidRDefault="00822455" w:rsidP="002961C5">
      <w:pPr>
        <w:pStyle w:val="FootnoteText"/>
      </w:pPr>
      <w:r>
        <w:rPr>
          <w:rStyle w:val="FootnoteReference"/>
        </w:rPr>
        <w:footnoteRef/>
      </w:r>
      <w:r>
        <w:t xml:space="preserve"> </w:t>
      </w:r>
      <w:r w:rsidRPr="00C31187">
        <w:t>https://www.cbsm.com/cases/22699-the-check-clean-dry-campaign</w:t>
      </w:r>
    </w:p>
  </w:footnote>
  <w:footnote w:id="16">
    <w:p w14:paraId="58074EBF" w14:textId="3FBFA225" w:rsidR="00822455" w:rsidRDefault="00822455">
      <w:pPr>
        <w:pStyle w:val="FootnoteText"/>
      </w:pPr>
      <w:r>
        <w:rPr>
          <w:rStyle w:val="FootnoteReference"/>
        </w:rPr>
        <w:footnoteRef/>
      </w:r>
      <w:r>
        <w:t xml:space="preserve"> </w:t>
      </w:r>
      <w:r w:rsidRPr="005A0032">
        <w:t>https://www.bbc.com/news/uk-scotland-south-scotland-13964184</w:t>
      </w:r>
    </w:p>
  </w:footnote>
  <w:footnote w:id="17">
    <w:p w14:paraId="0C86A526" w14:textId="2EB8E99D" w:rsidR="00822455" w:rsidRDefault="00822455">
      <w:pPr>
        <w:pStyle w:val="FootnoteText"/>
      </w:pPr>
      <w:r>
        <w:rPr>
          <w:rStyle w:val="FootnoteReference"/>
        </w:rPr>
        <w:footnoteRef/>
      </w:r>
      <w:r>
        <w:t xml:space="preserve"> </w:t>
      </w:r>
      <w:hyperlink r:id="rId7" w:history="1">
        <w:r w:rsidRPr="005A0032">
          <w:rPr>
            <w:rStyle w:val="Hyperlink"/>
          </w:rPr>
          <w:t>https://collinsnets.co.uk/product/1-mtr-high-large-fyke-nets</w:t>
        </w:r>
      </w:hyperlink>
    </w:p>
  </w:footnote>
  <w:footnote w:id="18">
    <w:p w14:paraId="48C119AF" w14:textId="25B183D0" w:rsidR="00822455" w:rsidRDefault="00822455">
      <w:pPr>
        <w:pStyle w:val="FootnoteText"/>
      </w:pPr>
      <w:r>
        <w:rPr>
          <w:rStyle w:val="FootnoteReference"/>
        </w:rPr>
        <w:footnoteRef/>
      </w:r>
      <w:r>
        <w:t xml:space="preserve"> </w:t>
      </w:r>
      <w:r w:rsidRPr="00C4428A">
        <w:t>https://www.scientificamerican.com/citizen-science/mitten-crab-watch/</w:t>
      </w:r>
    </w:p>
  </w:footnote>
  <w:footnote w:id="19">
    <w:p w14:paraId="43C754F4" w14:textId="6E442F96" w:rsidR="00822455" w:rsidRDefault="00822455" w:rsidP="00C50E41">
      <w:pPr>
        <w:pStyle w:val="FootnoteText"/>
      </w:pPr>
      <w:r>
        <w:rPr>
          <w:rStyle w:val="FootnoteReference"/>
        </w:rPr>
        <w:footnoteRef/>
      </w:r>
      <w:r>
        <w:t xml:space="preserve"> </w:t>
      </w:r>
      <w:r w:rsidRPr="00753585">
        <w:t>https://gbksoft.com/blog/how-much-does-it-cost-to-maintain-an-app/</w:t>
      </w:r>
    </w:p>
    <w:p w14:paraId="48E2732B" w14:textId="77777777" w:rsidR="00822455" w:rsidRDefault="00822455" w:rsidP="00C50E41">
      <w:pPr>
        <w:pStyle w:val="FootnoteText"/>
      </w:pPr>
    </w:p>
  </w:footnote>
  <w:footnote w:id="20">
    <w:p w14:paraId="306B0676" w14:textId="1812CFF0" w:rsidR="00822455" w:rsidRDefault="00822455" w:rsidP="00F75F97">
      <w:pPr>
        <w:pStyle w:val="FootnoteText"/>
      </w:pPr>
      <w:r>
        <w:rPr>
          <w:rStyle w:val="FootnoteReference"/>
        </w:rPr>
        <w:footnoteRef/>
      </w:r>
      <w:r>
        <w:t xml:space="preserve"> </w:t>
      </w:r>
      <w:r w:rsidRPr="00C452F0">
        <w:t>https://ec.europa.eu/eurostat/statistics-explained/index.php?title=Wages_and_labour_costs</w:t>
      </w:r>
    </w:p>
    <w:p w14:paraId="14E3BB81" w14:textId="77777777" w:rsidR="00822455" w:rsidRDefault="00822455" w:rsidP="00F75F97">
      <w:pPr>
        <w:pStyle w:val="FootnoteText"/>
      </w:pPr>
    </w:p>
  </w:footnote>
  <w:footnote w:id="21">
    <w:p w14:paraId="43AECB27" w14:textId="1951F4D0" w:rsidR="00822455" w:rsidRDefault="00822455" w:rsidP="00584037">
      <w:pPr>
        <w:pStyle w:val="FootnoteText"/>
      </w:pPr>
      <w:r>
        <w:rPr>
          <w:rStyle w:val="FootnoteReference"/>
        </w:rPr>
        <w:footnoteRef/>
      </w:r>
      <w:r>
        <w:t xml:space="preserve"> </w:t>
      </w:r>
      <w:r w:rsidRPr="009F74A5">
        <w:t>https://www.scientificamerican.com/article/can-we-really-eat-invasive-species-into-submission/</w:t>
      </w:r>
    </w:p>
  </w:footnote>
  <w:footnote w:id="22">
    <w:p w14:paraId="2873810B" w14:textId="3B9604A3" w:rsidR="00822455" w:rsidRDefault="00822455">
      <w:pPr>
        <w:pStyle w:val="FootnoteText"/>
      </w:pPr>
      <w:r>
        <w:rPr>
          <w:rStyle w:val="FootnoteReference"/>
        </w:rPr>
        <w:footnoteRef/>
      </w:r>
      <w:r>
        <w:t xml:space="preserve"> </w:t>
      </w:r>
      <w:r w:rsidRPr="009F74A5">
        <w:t>https://ensia.com/voices/why-eating-invasive-species-is-a-bad-idea/</w:t>
      </w:r>
    </w:p>
  </w:footnote>
  <w:footnote w:id="23">
    <w:p w14:paraId="527A39EB" w14:textId="77987B86" w:rsidR="00822455" w:rsidRDefault="00822455">
      <w:pPr>
        <w:pStyle w:val="FootnoteText"/>
      </w:pPr>
      <w:r w:rsidRPr="007C64EE">
        <w:rPr>
          <w:rStyle w:val="FootnoteReference"/>
          <w:sz w:val="18"/>
        </w:rPr>
        <w:footnoteRef/>
      </w:r>
      <w:r w:rsidRPr="007C64EE">
        <w:rPr>
          <w:sz w:val="18"/>
        </w:rPr>
        <w:t xml:space="preserve"> Assessment of confidence methodology is taken from IPBES. 2016. Guide on the production and integration of assessments from and across all scales (IPBES-4-INF-9), which is adapted from Moss and Schneider (2000).</w:t>
      </w:r>
    </w:p>
  </w:footnote>
  <w:footnote w:id="24">
    <w:p w14:paraId="1F6DDD8D" w14:textId="77777777" w:rsidR="00822455" w:rsidRDefault="00822455" w:rsidP="007C64EE">
      <w:pPr>
        <w:pStyle w:val="FootnoteText"/>
      </w:pPr>
      <w:r>
        <w:rPr>
          <w:rStyle w:val="FootnoteReference"/>
        </w:rPr>
        <w:footnoteRef/>
      </w:r>
      <w:r>
        <w:t xml:space="preserve"> A statistical method for combining results from different studies which aims to identify patterns among study results, sources of disagreement among those results, or other relationships that may come to light in the context of multiple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552"/>
    <w:multiLevelType w:val="hybridMultilevel"/>
    <w:tmpl w:val="329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67975"/>
    <w:multiLevelType w:val="hybridMultilevel"/>
    <w:tmpl w:val="094A9E36"/>
    <w:lvl w:ilvl="0" w:tplc="117E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7096F"/>
    <w:multiLevelType w:val="hybridMultilevel"/>
    <w:tmpl w:val="495A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627EE"/>
    <w:multiLevelType w:val="hybridMultilevel"/>
    <w:tmpl w:val="A7E6D2C0"/>
    <w:lvl w:ilvl="0" w:tplc="9C306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30B49"/>
    <w:rsid w:val="00000DC1"/>
    <w:rsid w:val="000013CE"/>
    <w:rsid w:val="000020AB"/>
    <w:rsid w:val="00002AED"/>
    <w:rsid w:val="00003123"/>
    <w:rsid w:val="0000510C"/>
    <w:rsid w:val="000065CF"/>
    <w:rsid w:val="00007001"/>
    <w:rsid w:val="0000743A"/>
    <w:rsid w:val="000114AC"/>
    <w:rsid w:val="0001242B"/>
    <w:rsid w:val="000125F1"/>
    <w:rsid w:val="000165CB"/>
    <w:rsid w:val="0002197D"/>
    <w:rsid w:val="00023F5A"/>
    <w:rsid w:val="00025C4E"/>
    <w:rsid w:val="000275FB"/>
    <w:rsid w:val="00030B0B"/>
    <w:rsid w:val="00030F59"/>
    <w:rsid w:val="00031F93"/>
    <w:rsid w:val="00032CBF"/>
    <w:rsid w:val="00032D7B"/>
    <w:rsid w:val="000333DA"/>
    <w:rsid w:val="00035869"/>
    <w:rsid w:val="00040D03"/>
    <w:rsid w:val="00042409"/>
    <w:rsid w:val="000433AE"/>
    <w:rsid w:val="0004416A"/>
    <w:rsid w:val="00044685"/>
    <w:rsid w:val="00044BB4"/>
    <w:rsid w:val="00045B89"/>
    <w:rsid w:val="000462AD"/>
    <w:rsid w:val="00050D93"/>
    <w:rsid w:val="00051EF4"/>
    <w:rsid w:val="00052C92"/>
    <w:rsid w:val="0005398B"/>
    <w:rsid w:val="00054AAD"/>
    <w:rsid w:val="000553F4"/>
    <w:rsid w:val="00055BAC"/>
    <w:rsid w:val="00055ECA"/>
    <w:rsid w:val="00060F15"/>
    <w:rsid w:val="00062563"/>
    <w:rsid w:val="00065102"/>
    <w:rsid w:val="000673E9"/>
    <w:rsid w:val="00070092"/>
    <w:rsid w:val="00070132"/>
    <w:rsid w:val="00073420"/>
    <w:rsid w:val="000747C0"/>
    <w:rsid w:val="00081EB5"/>
    <w:rsid w:val="0008306E"/>
    <w:rsid w:val="000837F6"/>
    <w:rsid w:val="0008713C"/>
    <w:rsid w:val="00093F17"/>
    <w:rsid w:val="00094CEE"/>
    <w:rsid w:val="00095362"/>
    <w:rsid w:val="00095F3C"/>
    <w:rsid w:val="0009661C"/>
    <w:rsid w:val="00097CF5"/>
    <w:rsid w:val="000A2982"/>
    <w:rsid w:val="000A2BFC"/>
    <w:rsid w:val="000A3495"/>
    <w:rsid w:val="000A4299"/>
    <w:rsid w:val="000A5051"/>
    <w:rsid w:val="000A540D"/>
    <w:rsid w:val="000A55A7"/>
    <w:rsid w:val="000B204E"/>
    <w:rsid w:val="000B316C"/>
    <w:rsid w:val="000B582D"/>
    <w:rsid w:val="000C1BE5"/>
    <w:rsid w:val="000C36C6"/>
    <w:rsid w:val="000C71D9"/>
    <w:rsid w:val="000D15CC"/>
    <w:rsid w:val="000D1AA8"/>
    <w:rsid w:val="000D3680"/>
    <w:rsid w:val="000D620D"/>
    <w:rsid w:val="000E1BA4"/>
    <w:rsid w:val="000E4124"/>
    <w:rsid w:val="000E4653"/>
    <w:rsid w:val="000E489F"/>
    <w:rsid w:val="000E6848"/>
    <w:rsid w:val="000E72C7"/>
    <w:rsid w:val="000E7F68"/>
    <w:rsid w:val="000F13CD"/>
    <w:rsid w:val="000F1E13"/>
    <w:rsid w:val="000F2A4C"/>
    <w:rsid w:val="000F4DEB"/>
    <w:rsid w:val="000F7490"/>
    <w:rsid w:val="001009AE"/>
    <w:rsid w:val="0010292E"/>
    <w:rsid w:val="001046F2"/>
    <w:rsid w:val="00105D17"/>
    <w:rsid w:val="00106264"/>
    <w:rsid w:val="00107825"/>
    <w:rsid w:val="00111880"/>
    <w:rsid w:val="0011245E"/>
    <w:rsid w:val="00115E85"/>
    <w:rsid w:val="00116065"/>
    <w:rsid w:val="00121F38"/>
    <w:rsid w:val="00126B01"/>
    <w:rsid w:val="00127CF0"/>
    <w:rsid w:val="00127F22"/>
    <w:rsid w:val="0013073F"/>
    <w:rsid w:val="001311D6"/>
    <w:rsid w:val="00131415"/>
    <w:rsid w:val="00135993"/>
    <w:rsid w:val="00135D18"/>
    <w:rsid w:val="00141C2B"/>
    <w:rsid w:val="00141E0E"/>
    <w:rsid w:val="0014210D"/>
    <w:rsid w:val="0014386B"/>
    <w:rsid w:val="001470F1"/>
    <w:rsid w:val="00151189"/>
    <w:rsid w:val="001513A7"/>
    <w:rsid w:val="00151E07"/>
    <w:rsid w:val="001534A9"/>
    <w:rsid w:val="00157750"/>
    <w:rsid w:val="00161A38"/>
    <w:rsid w:val="001631CF"/>
    <w:rsid w:val="00164012"/>
    <w:rsid w:val="00170EBF"/>
    <w:rsid w:val="001722FE"/>
    <w:rsid w:val="00172E02"/>
    <w:rsid w:val="001738DC"/>
    <w:rsid w:val="00177D76"/>
    <w:rsid w:val="001804A0"/>
    <w:rsid w:val="00180B0D"/>
    <w:rsid w:val="00186C45"/>
    <w:rsid w:val="00187EA0"/>
    <w:rsid w:val="00192C18"/>
    <w:rsid w:val="001937D1"/>
    <w:rsid w:val="00193BD4"/>
    <w:rsid w:val="001945CD"/>
    <w:rsid w:val="00197832"/>
    <w:rsid w:val="001A0096"/>
    <w:rsid w:val="001A057D"/>
    <w:rsid w:val="001A0D9B"/>
    <w:rsid w:val="001A1384"/>
    <w:rsid w:val="001A3EF7"/>
    <w:rsid w:val="001A41A2"/>
    <w:rsid w:val="001A5E91"/>
    <w:rsid w:val="001A6455"/>
    <w:rsid w:val="001B00E6"/>
    <w:rsid w:val="001B0281"/>
    <w:rsid w:val="001B06C9"/>
    <w:rsid w:val="001B3B2D"/>
    <w:rsid w:val="001B3CC7"/>
    <w:rsid w:val="001B52C0"/>
    <w:rsid w:val="001B583F"/>
    <w:rsid w:val="001C02A9"/>
    <w:rsid w:val="001C2566"/>
    <w:rsid w:val="001C418E"/>
    <w:rsid w:val="001C6097"/>
    <w:rsid w:val="001C7BCB"/>
    <w:rsid w:val="001D1511"/>
    <w:rsid w:val="001D2960"/>
    <w:rsid w:val="001E08D2"/>
    <w:rsid w:val="001E0C03"/>
    <w:rsid w:val="001E0C1E"/>
    <w:rsid w:val="001E4CD3"/>
    <w:rsid w:val="001E5359"/>
    <w:rsid w:val="001F07A8"/>
    <w:rsid w:val="001F141E"/>
    <w:rsid w:val="001F143D"/>
    <w:rsid w:val="001F24F7"/>
    <w:rsid w:val="001F255E"/>
    <w:rsid w:val="001F3DE7"/>
    <w:rsid w:val="001F4017"/>
    <w:rsid w:val="001F55EE"/>
    <w:rsid w:val="001F6BDC"/>
    <w:rsid w:val="001F6E06"/>
    <w:rsid w:val="0020220F"/>
    <w:rsid w:val="0020286E"/>
    <w:rsid w:val="0020645C"/>
    <w:rsid w:val="00212C71"/>
    <w:rsid w:val="00215042"/>
    <w:rsid w:val="002158AA"/>
    <w:rsid w:val="00217A49"/>
    <w:rsid w:val="00221541"/>
    <w:rsid w:val="002232D5"/>
    <w:rsid w:val="00223E34"/>
    <w:rsid w:val="00225D23"/>
    <w:rsid w:val="0022731C"/>
    <w:rsid w:val="002276C8"/>
    <w:rsid w:val="0023000C"/>
    <w:rsid w:val="0023302C"/>
    <w:rsid w:val="00234826"/>
    <w:rsid w:val="00240FD9"/>
    <w:rsid w:val="00243292"/>
    <w:rsid w:val="00244131"/>
    <w:rsid w:val="002441F4"/>
    <w:rsid w:val="00244CE3"/>
    <w:rsid w:val="0024780B"/>
    <w:rsid w:val="0025052C"/>
    <w:rsid w:val="002522B4"/>
    <w:rsid w:val="00253A92"/>
    <w:rsid w:val="00254928"/>
    <w:rsid w:val="00254DC3"/>
    <w:rsid w:val="002558D1"/>
    <w:rsid w:val="0025686D"/>
    <w:rsid w:val="002572AE"/>
    <w:rsid w:val="0026102F"/>
    <w:rsid w:val="00261C72"/>
    <w:rsid w:val="002626BE"/>
    <w:rsid w:val="00263C48"/>
    <w:rsid w:val="00265C6F"/>
    <w:rsid w:val="0026624A"/>
    <w:rsid w:val="0026697D"/>
    <w:rsid w:val="002672A2"/>
    <w:rsid w:val="002715C1"/>
    <w:rsid w:val="00275755"/>
    <w:rsid w:val="00275860"/>
    <w:rsid w:val="00275EF8"/>
    <w:rsid w:val="002767F8"/>
    <w:rsid w:val="00276999"/>
    <w:rsid w:val="002770EC"/>
    <w:rsid w:val="0028060F"/>
    <w:rsid w:val="00280D0D"/>
    <w:rsid w:val="00284F7F"/>
    <w:rsid w:val="00286348"/>
    <w:rsid w:val="0029033F"/>
    <w:rsid w:val="002919BE"/>
    <w:rsid w:val="00292074"/>
    <w:rsid w:val="00292426"/>
    <w:rsid w:val="00293B31"/>
    <w:rsid w:val="002961C5"/>
    <w:rsid w:val="002970B3"/>
    <w:rsid w:val="0029755F"/>
    <w:rsid w:val="002A05AE"/>
    <w:rsid w:val="002A13ED"/>
    <w:rsid w:val="002A1410"/>
    <w:rsid w:val="002A18A0"/>
    <w:rsid w:val="002A33C3"/>
    <w:rsid w:val="002A54DB"/>
    <w:rsid w:val="002A7257"/>
    <w:rsid w:val="002A732D"/>
    <w:rsid w:val="002A7BCE"/>
    <w:rsid w:val="002B1D14"/>
    <w:rsid w:val="002B2AEE"/>
    <w:rsid w:val="002B2F55"/>
    <w:rsid w:val="002B460F"/>
    <w:rsid w:val="002B6463"/>
    <w:rsid w:val="002B664E"/>
    <w:rsid w:val="002B6B03"/>
    <w:rsid w:val="002C2DD9"/>
    <w:rsid w:val="002C2DFC"/>
    <w:rsid w:val="002C7AB2"/>
    <w:rsid w:val="002C7E3B"/>
    <w:rsid w:val="002D06B5"/>
    <w:rsid w:val="002D0F85"/>
    <w:rsid w:val="002D2509"/>
    <w:rsid w:val="002E17F6"/>
    <w:rsid w:val="002E663D"/>
    <w:rsid w:val="002E6A56"/>
    <w:rsid w:val="002E6ACC"/>
    <w:rsid w:val="002E7A33"/>
    <w:rsid w:val="002E7D70"/>
    <w:rsid w:val="002F2131"/>
    <w:rsid w:val="002F323B"/>
    <w:rsid w:val="002F538D"/>
    <w:rsid w:val="002F5CFE"/>
    <w:rsid w:val="002F5EE0"/>
    <w:rsid w:val="002F6D65"/>
    <w:rsid w:val="00300693"/>
    <w:rsid w:val="00300B04"/>
    <w:rsid w:val="00301B1D"/>
    <w:rsid w:val="00304FB0"/>
    <w:rsid w:val="00307180"/>
    <w:rsid w:val="00307F9E"/>
    <w:rsid w:val="0031214E"/>
    <w:rsid w:val="00312F9D"/>
    <w:rsid w:val="00313783"/>
    <w:rsid w:val="00313F80"/>
    <w:rsid w:val="003140E2"/>
    <w:rsid w:val="00314974"/>
    <w:rsid w:val="003165ED"/>
    <w:rsid w:val="003165FB"/>
    <w:rsid w:val="00316F8F"/>
    <w:rsid w:val="00317C54"/>
    <w:rsid w:val="00320C35"/>
    <w:rsid w:val="003210BC"/>
    <w:rsid w:val="003272F4"/>
    <w:rsid w:val="00327E27"/>
    <w:rsid w:val="00334634"/>
    <w:rsid w:val="003347F8"/>
    <w:rsid w:val="00334DB8"/>
    <w:rsid w:val="00335A6D"/>
    <w:rsid w:val="00336B40"/>
    <w:rsid w:val="0033792B"/>
    <w:rsid w:val="00337B1F"/>
    <w:rsid w:val="00340817"/>
    <w:rsid w:val="00341F92"/>
    <w:rsid w:val="00343467"/>
    <w:rsid w:val="00346840"/>
    <w:rsid w:val="00346CED"/>
    <w:rsid w:val="00350C77"/>
    <w:rsid w:val="0035143B"/>
    <w:rsid w:val="0035324E"/>
    <w:rsid w:val="003541D2"/>
    <w:rsid w:val="003572C2"/>
    <w:rsid w:val="00357C74"/>
    <w:rsid w:val="003603C6"/>
    <w:rsid w:val="00360A8A"/>
    <w:rsid w:val="00362BFC"/>
    <w:rsid w:val="003632FC"/>
    <w:rsid w:val="00363405"/>
    <w:rsid w:val="003643EE"/>
    <w:rsid w:val="00364E2C"/>
    <w:rsid w:val="0036572E"/>
    <w:rsid w:val="003678A6"/>
    <w:rsid w:val="00367F11"/>
    <w:rsid w:val="00372A76"/>
    <w:rsid w:val="00375B1F"/>
    <w:rsid w:val="00375E1E"/>
    <w:rsid w:val="0037798E"/>
    <w:rsid w:val="00380E66"/>
    <w:rsid w:val="0038130C"/>
    <w:rsid w:val="00381A1D"/>
    <w:rsid w:val="00382544"/>
    <w:rsid w:val="00382E7D"/>
    <w:rsid w:val="00382ECE"/>
    <w:rsid w:val="003864BC"/>
    <w:rsid w:val="003921C8"/>
    <w:rsid w:val="0039251D"/>
    <w:rsid w:val="00394FE2"/>
    <w:rsid w:val="00395A81"/>
    <w:rsid w:val="0039672E"/>
    <w:rsid w:val="003A0D13"/>
    <w:rsid w:val="003A0D82"/>
    <w:rsid w:val="003A1BD2"/>
    <w:rsid w:val="003A3008"/>
    <w:rsid w:val="003A44A3"/>
    <w:rsid w:val="003A4F45"/>
    <w:rsid w:val="003A711B"/>
    <w:rsid w:val="003B1374"/>
    <w:rsid w:val="003B167A"/>
    <w:rsid w:val="003B1796"/>
    <w:rsid w:val="003B1E0C"/>
    <w:rsid w:val="003B3F73"/>
    <w:rsid w:val="003B742C"/>
    <w:rsid w:val="003C0118"/>
    <w:rsid w:val="003C2F66"/>
    <w:rsid w:val="003C4C59"/>
    <w:rsid w:val="003C5B5B"/>
    <w:rsid w:val="003C672D"/>
    <w:rsid w:val="003D0E2F"/>
    <w:rsid w:val="003D1125"/>
    <w:rsid w:val="003D1796"/>
    <w:rsid w:val="003D2307"/>
    <w:rsid w:val="003E06D8"/>
    <w:rsid w:val="003E15E9"/>
    <w:rsid w:val="003E1804"/>
    <w:rsid w:val="003E24C6"/>
    <w:rsid w:val="003E346B"/>
    <w:rsid w:val="003E393F"/>
    <w:rsid w:val="003E3D98"/>
    <w:rsid w:val="003E537B"/>
    <w:rsid w:val="003E53C3"/>
    <w:rsid w:val="003E65BF"/>
    <w:rsid w:val="003E788B"/>
    <w:rsid w:val="003F0B6C"/>
    <w:rsid w:val="003F0F3A"/>
    <w:rsid w:val="003F4660"/>
    <w:rsid w:val="003F63C8"/>
    <w:rsid w:val="003F77F5"/>
    <w:rsid w:val="0040006A"/>
    <w:rsid w:val="00401E89"/>
    <w:rsid w:val="00402C87"/>
    <w:rsid w:val="0040331B"/>
    <w:rsid w:val="0040532B"/>
    <w:rsid w:val="00406697"/>
    <w:rsid w:val="004073D4"/>
    <w:rsid w:val="004106C7"/>
    <w:rsid w:val="0041102E"/>
    <w:rsid w:val="00411B55"/>
    <w:rsid w:val="00412A10"/>
    <w:rsid w:val="00412EB4"/>
    <w:rsid w:val="004161BA"/>
    <w:rsid w:val="00417F5A"/>
    <w:rsid w:val="004203E6"/>
    <w:rsid w:val="004261DE"/>
    <w:rsid w:val="0043654E"/>
    <w:rsid w:val="00436DC1"/>
    <w:rsid w:val="00441612"/>
    <w:rsid w:val="00446D44"/>
    <w:rsid w:val="00447DC6"/>
    <w:rsid w:val="004505EE"/>
    <w:rsid w:val="0045268D"/>
    <w:rsid w:val="00454C00"/>
    <w:rsid w:val="00460761"/>
    <w:rsid w:val="00463015"/>
    <w:rsid w:val="0046394E"/>
    <w:rsid w:val="00464B8B"/>
    <w:rsid w:val="00464EA3"/>
    <w:rsid w:val="00465188"/>
    <w:rsid w:val="0046623F"/>
    <w:rsid w:val="0046747F"/>
    <w:rsid w:val="004710DB"/>
    <w:rsid w:val="00471D07"/>
    <w:rsid w:val="00471ED1"/>
    <w:rsid w:val="00472C21"/>
    <w:rsid w:val="00473D24"/>
    <w:rsid w:val="00480AE4"/>
    <w:rsid w:val="004843AA"/>
    <w:rsid w:val="00485C66"/>
    <w:rsid w:val="00491BC5"/>
    <w:rsid w:val="00492A97"/>
    <w:rsid w:val="0049319D"/>
    <w:rsid w:val="004943BD"/>
    <w:rsid w:val="00494D1C"/>
    <w:rsid w:val="00496BED"/>
    <w:rsid w:val="00496E0F"/>
    <w:rsid w:val="0049739F"/>
    <w:rsid w:val="00497520"/>
    <w:rsid w:val="004A0F39"/>
    <w:rsid w:val="004A1BD4"/>
    <w:rsid w:val="004A5CC0"/>
    <w:rsid w:val="004A6CC4"/>
    <w:rsid w:val="004A7E03"/>
    <w:rsid w:val="004B054C"/>
    <w:rsid w:val="004B0820"/>
    <w:rsid w:val="004B1230"/>
    <w:rsid w:val="004B1C92"/>
    <w:rsid w:val="004B26D6"/>
    <w:rsid w:val="004B2BA8"/>
    <w:rsid w:val="004B3B4A"/>
    <w:rsid w:val="004B3C81"/>
    <w:rsid w:val="004B609A"/>
    <w:rsid w:val="004B7BC3"/>
    <w:rsid w:val="004C1169"/>
    <w:rsid w:val="004C12BA"/>
    <w:rsid w:val="004C14FA"/>
    <w:rsid w:val="004C15FA"/>
    <w:rsid w:val="004C2115"/>
    <w:rsid w:val="004C3E16"/>
    <w:rsid w:val="004C6597"/>
    <w:rsid w:val="004C766E"/>
    <w:rsid w:val="004C768F"/>
    <w:rsid w:val="004C7749"/>
    <w:rsid w:val="004D0F9C"/>
    <w:rsid w:val="004D1293"/>
    <w:rsid w:val="004D24E1"/>
    <w:rsid w:val="004D494B"/>
    <w:rsid w:val="004D561B"/>
    <w:rsid w:val="004D77F8"/>
    <w:rsid w:val="004E060F"/>
    <w:rsid w:val="004E1D2B"/>
    <w:rsid w:val="004E3631"/>
    <w:rsid w:val="004E3ADA"/>
    <w:rsid w:val="004E4182"/>
    <w:rsid w:val="004E4500"/>
    <w:rsid w:val="004E7443"/>
    <w:rsid w:val="004E74F6"/>
    <w:rsid w:val="004E7A74"/>
    <w:rsid w:val="004F1BC0"/>
    <w:rsid w:val="004F245F"/>
    <w:rsid w:val="004F3B37"/>
    <w:rsid w:val="004F3CA0"/>
    <w:rsid w:val="004F6C7C"/>
    <w:rsid w:val="004F70F4"/>
    <w:rsid w:val="004F77BF"/>
    <w:rsid w:val="00501C5B"/>
    <w:rsid w:val="00501F74"/>
    <w:rsid w:val="0050300B"/>
    <w:rsid w:val="00504DAE"/>
    <w:rsid w:val="00506770"/>
    <w:rsid w:val="005078D6"/>
    <w:rsid w:val="005139E7"/>
    <w:rsid w:val="00515963"/>
    <w:rsid w:val="00515EE8"/>
    <w:rsid w:val="00522DD8"/>
    <w:rsid w:val="005243E2"/>
    <w:rsid w:val="00525480"/>
    <w:rsid w:val="0053049B"/>
    <w:rsid w:val="005339A4"/>
    <w:rsid w:val="00535ED6"/>
    <w:rsid w:val="0053782D"/>
    <w:rsid w:val="00541957"/>
    <w:rsid w:val="00543198"/>
    <w:rsid w:val="00543646"/>
    <w:rsid w:val="00544D6B"/>
    <w:rsid w:val="005469E7"/>
    <w:rsid w:val="0055695E"/>
    <w:rsid w:val="00560D33"/>
    <w:rsid w:val="005659A6"/>
    <w:rsid w:val="00566386"/>
    <w:rsid w:val="00570230"/>
    <w:rsid w:val="00571525"/>
    <w:rsid w:val="0057346B"/>
    <w:rsid w:val="00573948"/>
    <w:rsid w:val="00573E51"/>
    <w:rsid w:val="00574BEB"/>
    <w:rsid w:val="00575640"/>
    <w:rsid w:val="00577048"/>
    <w:rsid w:val="00580831"/>
    <w:rsid w:val="00582164"/>
    <w:rsid w:val="005834E2"/>
    <w:rsid w:val="00583562"/>
    <w:rsid w:val="00584037"/>
    <w:rsid w:val="005845D2"/>
    <w:rsid w:val="005854ED"/>
    <w:rsid w:val="00585FAD"/>
    <w:rsid w:val="00592F87"/>
    <w:rsid w:val="00593E0F"/>
    <w:rsid w:val="00593E36"/>
    <w:rsid w:val="005944A9"/>
    <w:rsid w:val="00594879"/>
    <w:rsid w:val="005949FC"/>
    <w:rsid w:val="005954FE"/>
    <w:rsid w:val="005970E3"/>
    <w:rsid w:val="0059759C"/>
    <w:rsid w:val="00597A84"/>
    <w:rsid w:val="005A0032"/>
    <w:rsid w:val="005A023D"/>
    <w:rsid w:val="005A0CBA"/>
    <w:rsid w:val="005A2530"/>
    <w:rsid w:val="005A50C5"/>
    <w:rsid w:val="005A6048"/>
    <w:rsid w:val="005A7D4A"/>
    <w:rsid w:val="005B04C3"/>
    <w:rsid w:val="005B058F"/>
    <w:rsid w:val="005B1C78"/>
    <w:rsid w:val="005B513F"/>
    <w:rsid w:val="005B6E2E"/>
    <w:rsid w:val="005B74AE"/>
    <w:rsid w:val="005B7A62"/>
    <w:rsid w:val="005C1D5E"/>
    <w:rsid w:val="005C2319"/>
    <w:rsid w:val="005C2901"/>
    <w:rsid w:val="005C32DC"/>
    <w:rsid w:val="005C37B1"/>
    <w:rsid w:val="005C4B98"/>
    <w:rsid w:val="005C53DA"/>
    <w:rsid w:val="005D0C33"/>
    <w:rsid w:val="005D0DAD"/>
    <w:rsid w:val="005D0EDE"/>
    <w:rsid w:val="005D3D19"/>
    <w:rsid w:val="005D5089"/>
    <w:rsid w:val="005E01E7"/>
    <w:rsid w:val="005E06EC"/>
    <w:rsid w:val="005E352F"/>
    <w:rsid w:val="005E370F"/>
    <w:rsid w:val="005E3AB5"/>
    <w:rsid w:val="005E41BC"/>
    <w:rsid w:val="005E44B4"/>
    <w:rsid w:val="005E44ED"/>
    <w:rsid w:val="005E48E1"/>
    <w:rsid w:val="005E54D2"/>
    <w:rsid w:val="005E6048"/>
    <w:rsid w:val="005F296C"/>
    <w:rsid w:val="005F2B2E"/>
    <w:rsid w:val="005F316F"/>
    <w:rsid w:val="005F3A58"/>
    <w:rsid w:val="005F42D9"/>
    <w:rsid w:val="005F432F"/>
    <w:rsid w:val="005F4F81"/>
    <w:rsid w:val="005F5952"/>
    <w:rsid w:val="005F5EEF"/>
    <w:rsid w:val="005F6883"/>
    <w:rsid w:val="00601428"/>
    <w:rsid w:val="006036D9"/>
    <w:rsid w:val="00604BC3"/>
    <w:rsid w:val="0060745B"/>
    <w:rsid w:val="0061038A"/>
    <w:rsid w:val="006104C0"/>
    <w:rsid w:val="0061375D"/>
    <w:rsid w:val="00616AA6"/>
    <w:rsid w:val="00621316"/>
    <w:rsid w:val="00622536"/>
    <w:rsid w:val="00623588"/>
    <w:rsid w:val="00624B5D"/>
    <w:rsid w:val="006252AD"/>
    <w:rsid w:val="00625765"/>
    <w:rsid w:val="006259F6"/>
    <w:rsid w:val="006266AE"/>
    <w:rsid w:val="00627066"/>
    <w:rsid w:val="00627237"/>
    <w:rsid w:val="006311CD"/>
    <w:rsid w:val="006349EC"/>
    <w:rsid w:val="00635EAC"/>
    <w:rsid w:val="00636CBA"/>
    <w:rsid w:val="00637316"/>
    <w:rsid w:val="006403A2"/>
    <w:rsid w:val="006435B0"/>
    <w:rsid w:val="00644053"/>
    <w:rsid w:val="00644881"/>
    <w:rsid w:val="00645CEA"/>
    <w:rsid w:val="00645D40"/>
    <w:rsid w:val="006461D9"/>
    <w:rsid w:val="0065366A"/>
    <w:rsid w:val="006551B2"/>
    <w:rsid w:val="00657D48"/>
    <w:rsid w:val="00657D82"/>
    <w:rsid w:val="00660BB8"/>
    <w:rsid w:val="006611F9"/>
    <w:rsid w:val="00663D19"/>
    <w:rsid w:val="006648CA"/>
    <w:rsid w:val="00665A76"/>
    <w:rsid w:val="006671FF"/>
    <w:rsid w:val="00671A90"/>
    <w:rsid w:val="00671B37"/>
    <w:rsid w:val="00673B1B"/>
    <w:rsid w:val="00674D69"/>
    <w:rsid w:val="006753B9"/>
    <w:rsid w:val="0067664C"/>
    <w:rsid w:val="00676B15"/>
    <w:rsid w:val="00680E25"/>
    <w:rsid w:val="006813C5"/>
    <w:rsid w:val="00682ECD"/>
    <w:rsid w:val="00683658"/>
    <w:rsid w:val="00683BB0"/>
    <w:rsid w:val="0068403F"/>
    <w:rsid w:val="00686B2D"/>
    <w:rsid w:val="006905B6"/>
    <w:rsid w:val="00692641"/>
    <w:rsid w:val="00692BCD"/>
    <w:rsid w:val="006940CA"/>
    <w:rsid w:val="006A1DF2"/>
    <w:rsid w:val="006A2981"/>
    <w:rsid w:val="006A5821"/>
    <w:rsid w:val="006B0195"/>
    <w:rsid w:val="006B2A49"/>
    <w:rsid w:val="006B3178"/>
    <w:rsid w:val="006B5814"/>
    <w:rsid w:val="006B7C12"/>
    <w:rsid w:val="006C02FD"/>
    <w:rsid w:val="006C1869"/>
    <w:rsid w:val="006C4E6B"/>
    <w:rsid w:val="006C7124"/>
    <w:rsid w:val="006C725F"/>
    <w:rsid w:val="006D06EA"/>
    <w:rsid w:val="006D2377"/>
    <w:rsid w:val="006D340C"/>
    <w:rsid w:val="006D4A03"/>
    <w:rsid w:val="006D6710"/>
    <w:rsid w:val="006D759A"/>
    <w:rsid w:val="006D7681"/>
    <w:rsid w:val="006E1BD3"/>
    <w:rsid w:val="006E2A82"/>
    <w:rsid w:val="006E443C"/>
    <w:rsid w:val="006E5F43"/>
    <w:rsid w:val="006E6F17"/>
    <w:rsid w:val="006F1634"/>
    <w:rsid w:val="006F2842"/>
    <w:rsid w:val="006F38F8"/>
    <w:rsid w:val="006F5ED6"/>
    <w:rsid w:val="006F67E3"/>
    <w:rsid w:val="006F6BB5"/>
    <w:rsid w:val="006F7F8A"/>
    <w:rsid w:val="007107EF"/>
    <w:rsid w:val="00711F98"/>
    <w:rsid w:val="007125D7"/>
    <w:rsid w:val="00714C3F"/>
    <w:rsid w:val="007202A0"/>
    <w:rsid w:val="00720F4A"/>
    <w:rsid w:val="00722ECF"/>
    <w:rsid w:val="00723CA6"/>
    <w:rsid w:val="0072463E"/>
    <w:rsid w:val="007338EE"/>
    <w:rsid w:val="00735ED1"/>
    <w:rsid w:val="00741C42"/>
    <w:rsid w:val="00742341"/>
    <w:rsid w:val="00742D05"/>
    <w:rsid w:val="00742F4F"/>
    <w:rsid w:val="007436E5"/>
    <w:rsid w:val="007441CE"/>
    <w:rsid w:val="00744210"/>
    <w:rsid w:val="0074519E"/>
    <w:rsid w:val="0074557F"/>
    <w:rsid w:val="00745A83"/>
    <w:rsid w:val="00745CE6"/>
    <w:rsid w:val="007472C4"/>
    <w:rsid w:val="007518D7"/>
    <w:rsid w:val="007526E3"/>
    <w:rsid w:val="007526EE"/>
    <w:rsid w:val="00752C0F"/>
    <w:rsid w:val="00753585"/>
    <w:rsid w:val="00755D81"/>
    <w:rsid w:val="007569C6"/>
    <w:rsid w:val="0076015C"/>
    <w:rsid w:val="00760E08"/>
    <w:rsid w:val="0076117F"/>
    <w:rsid w:val="00761358"/>
    <w:rsid w:val="00761E15"/>
    <w:rsid w:val="0076274C"/>
    <w:rsid w:val="00762BA0"/>
    <w:rsid w:val="00763C6F"/>
    <w:rsid w:val="00763E2A"/>
    <w:rsid w:val="007659D6"/>
    <w:rsid w:val="007724DD"/>
    <w:rsid w:val="00772927"/>
    <w:rsid w:val="007812EC"/>
    <w:rsid w:val="00784789"/>
    <w:rsid w:val="00784D4F"/>
    <w:rsid w:val="00784ED4"/>
    <w:rsid w:val="00785595"/>
    <w:rsid w:val="00786053"/>
    <w:rsid w:val="00786DF3"/>
    <w:rsid w:val="007900A0"/>
    <w:rsid w:val="007906FC"/>
    <w:rsid w:val="0079215E"/>
    <w:rsid w:val="007938D1"/>
    <w:rsid w:val="00794178"/>
    <w:rsid w:val="00795397"/>
    <w:rsid w:val="0079634A"/>
    <w:rsid w:val="0079644D"/>
    <w:rsid w:val="007A0460"/>
    <w:rsid w:val="007A2E53"/>
    <w:rsid w:val="007B38AF"/>
    <w:rsid w:val="007B4A22"/>
    <w:rsid w:val="007B5CF3"/>
    <w:rsid w:val="007B617A"/>
    <w:rsid w:val="007C1A28"/>
    <w:rsid w:val="007C2633"/>
    <w:rsid w:val="007C3547"/>
    <w:rsid w:val="007C4EA5"/>
    <w:rsid w:val="007C64EE"/>
    <w:rsid w:val="007C654A"/>
    <w:rsid w:val="007C6F84"/>
    <w:rsid w:val="007D0F4B"/>
    <w:rsid w:val="007D144C"/>
    <w:rsid w:val="007D3985"/>
    <w:rsid w:val="007D540D"/>
    <w:rsid w:val="007D55A0"/>
    <w:rsid w:val="007D682A"/>
    <w:rsid w:val="007E2088"/>
    <w:rsid w:val="007E2716"/>
    <w:rsid w:val="007E78C3"/>
    <w:rsid w:val="007F135D"/>
    <w:rsid w:val="007F3AA1"/>
    <w:rsid w:val="007F4216"/>
    <w:rsid w:val="007F5685"/>
    <w:rsid w:val="007F6615"/>
    <w:rsid w:val="007F71B7"/>
    <w:rsid w:val="007F7355"/>
    <w:rsid w:val="0080239F"/>
    <w:rsid w:val="00802ECE"/>
    <w:rsid w:val="00805D01"/>
    <w:rsid w:val="0080722E"/>
    <w:rsid w:val="00807AD2"/>
    <w:rsid w:val="00810248"/>
    <w:rsid w:val="00812BBC"/>
    <w:rsid w:val="00813054"/>
    <w:rsid w:val="00814FAE"/>
    <w:rsid w:val="00816A1F"/>
    <w:rsid w:val="00816A28"/>
    <w:rsid w:val="008175CF"/>
    <w:rsid w:val="00817E5E"/>
    <w:rsid w:val="0082240E"/>
    <w:rsid w:val="00822455"/>
    <w:rsid w:val="0082400C"/>
    <w:rsid w:val="008250B5"/>
    <w:rsid w:val="00826FE5"/>
    <w:rsid w:val="00833292"/>
    <w:rsid w:val="00841F45"/>
    <w:rsid w:val="0084375A"/>
    <w:rsid w:val="008450EB"/>
    <w:rsid w:val="00847407"/>
    <w:rsid w:val="00851F33"/>
    <w:rsid w:val="00852B1C"/>
    <w:rsid w:val="00853F36"/>
    <w:rsid w:val="008548DD"/>
    <w:rsid w:val="00855BD7"/>
    <w:rsid w:val="008575B6"/>
    <w:rsid w:val="00860A12"/>
    <w:rsid w:val="0086304B"/>
    <w:rsid w:val="008657FC"/>
    <w:rsid w:val="0086696C"/>
    <w:rsid w:val="0086720E"/>
    <w:rsid w:val="008677A8"/>
    <w:rsid w:val="0087098A"/>
    <w:rsid w:val="008714FD"/>
    <w:rsid w:val="00872F92"/>
    <w:rsid w:val="008733D4"/>
    <w:rsid w:val="008747D4"/>
    <w:rsid w:val="00874E62"/>
    <w:rsid w:val="00876A2C"/>
    <w:rsid w:val="00877D4D"/>
    <w:rsid w:val="00881D6F"/>
    <w:rsid w:val="00882EAB"/>
    <w:rsid w:val="008839DE"/>
    <w:rsid w:val="008841C9"/>
    <w:rsid w:val="008876F7"/>
    <w:rsid w:val="008878B4"/>
    <w:rsid w:val="00890BA8"/>
    <w:rsid w:val="008915FA"/>
    <w:rsid w:val="0089265B"/>
    <w:rsid w:val="008930DB"/>
    <w:rsid w:val="00894AA1"/>
    <w:rsid w:val="00894EBB"/>
    <w:rsid w:val="00895436"/>
    <w:rsid w:val="00895ACB"/>
    <w:rsid w:val="008A0BE6"/>
    <w:rsid w:val="008A1CE1"/>
    <w:rsid w:val="008A28BA"/>
    <w:rsid w:val="008A2CF6"/>
    <w:rsid w:val="008A4EBD"/>
    <w:rsid w:val="008A501F"/>
    <w:rsid w:val="008A6960"/>
    <w:rsid w:val="008A7754"/>
    <w:rsid w:val="008B0346"/>
    <w:rsid w:val="008B054A"/>
    <w:rsid w:val="008B1E64"/>
    <w:rsid w:val="008B2B43"/>
    <w:rsid w:val="008B4A4D"/>
    <w:rsid w:val="008B5046"/>
    <w:rsid w:val="008B6D49"/>
    <w:rsid w:val="008C0139"/>
    <w:rsid w:val="008C05D1"/>
    <w:rsid w:val="008C46CA"/>
    <w:rsid w:val="008C4B5B"/>
    <w:rsid w:val="008C4F91"/>
    <w:rsid w:val="008C7223"/>
    <w:rsid w:val="008D0EA0"/>
    <w:rsid w:val="008D137F"/>
    <w:rsid w:val="008D1CE0"/>
    <w:rsid w:val="008D5227"/>
    <w:rsid w:val="008D57E0"/>
    <w:rsid w:val="008D5E7C"/>
    <w:rsid w:val="008E0141"/>
    <w:rsid w:val="008E1D5A"/>
    <w:rsid w:val="008E1F9C"/>
    <w:rsid w:val="008E4DB2"/>
    <w:rsid w:val="008E795F"/>
    <w:rsid w:val="008F038B"/>
    <w:rsid w:val="008F47E8"/>
    <w:rsid w:val="008F6993"/>
    <w:rsid w:val="00900624"/>
    <w:rsid w:val="009007C0"/>
    <w:rsid w:val="009019B9"/>
    <w:rsid w:val="00902C76"/>
    <w:rsid w:val="00903597"/>
    <w:rsid w:val="00903683"/>
    <w:rsid w:val="00905084"/>
    <w:rsid w:val="00913D6F"/>
    <w:rsid w:val="0091419E"/>
    <w:rsid w:val="009141AA"/>
    <w:rsid w:val="00915566"/>
    <w:rsid w:val="00920651"/>
    <w:rsid w:val="0092188A"/>
    <w:rsid w:val="00923069"/>
    <w:rsid w:val="00926622"/>
    <w:rsid w:val="009333C5"/>
    <w:rsid w:val="00933946"/>
    <w:rsid w:val="00937B29"/>
    <w:rsid w:val="0094133F"/>
    <w:rsid w:val="009440A5"/>
    <w:rsid w:val="0094446A"/>
    <w:rsid w:val="009464BB"/>
    <w:rsid w:val="00947102"/>
    <w:rsid w:val="00947DFD"/>
    <w:rsid w:val="0095318F"/>
    <w:rsid w:val="00953802"/>
    <w:rsid w:val="0095461D"/>
    <w:rsid w:val="0095551A"/>
    <w:rsid w:val="00956388"/>
    <w:rsid w:val="00957BC5"/>
    <w:rsid w:val="00957DF5"/>
    <w:rsid w:val="00957E58"/>
    <w:rsid w:val="00961B41"/>
    <w:rsid w:val="00961E1A"/>
    <w:rsid w:val="009657A9"/>
    <w:rsid w:val="00965D47"/>
    <w:rsid w:val="00966C7D"/>
    <w:rsid w:val="00971F68"/>
    <w:rsid w:val="009726BF"/>
    <w:rsid w:val="00973180"/>
    <w:rsid w:val="009734B3"/>
    <w:rsid w:val="00973C6B"/>
    <w:rsid w:val="00976A39"/>
    <w:rsid w:val="009776FB"/>
    <w:rsid w:val="00980280"/>
    <w:rsid w:val="00981E4A"/>
    <w:rsid w:val="00981EF1"/>
    <w:rsid w:val="0098222F"/>
    <w:rsid w:val="00982D60"/>
    <w:rsid w:val="009834B0"/>
    <w:rsid w:val="009840CB"/>
    <w:rsid w:val="0098454C"/>
    <w:rsid w:val="00984D2D"/>
    <w:rsid w:val="00986CDA"/>
    <w:rsid w:val="00996613"/>
    <w:rsid w:val="009969F6"/>
    <w:rsid w:val="00996E37"/>
    <w:rsid w:val="009976A5"/>
    <w:rsid w:val="00997B19"/>
    <w:rsid w:val="009A1DCE"/>
    <w:rsid w:val="009A3483"/>
    <w:rsid w:val="009A3846"/>
    <w:rsid w:val="009A3863"/>
    <w:rsid w:val="009A4FE4"/>
    <w:rsid w:val="009A65D8"/>
    <w:rsid w:val="009B11A3"/>
    <w:rsid w:val="009B1794"/>
    <w:rsid w:val="009B287F"/>
    <w:rsid w:val="009B4EB4"/>
    <w:rsid w:val="009C0785"/>
    <w:rsid w:val="009C246E"/>
    <w:rsid w:val="009C26E7"/>
    <w:rsid w:val="009C362E"/>
    <w:rsid w:val="009C74F5"/>
    <w:rsid w:val="009D2758"/>
    <w:rsid w:val="009E3F66"/>
    <w:rsid w:val="009E4DBE"/>
    <w:rsid w:val="009E5FA4"/>
    <w:rsid w:val="009E7C76"/>
    <w:rsid w:val="009F3C28"/>
    <w:rsid w:val="009F61BB"/>
    <w:rsid w:val="009F74A5"/>
    <w:rsid w:val="00A00E5A"/>
    <w:rsid w:val="00A00EF1"/>
    <w:rsid w:val="00A04124"/>
    <w:rsid w:val="00A04594"/>
    <w:rsid w:val="00A05315"/>
    <w:rsid w:val="00A10122"/>
    <w:rsid w:val="00A10738"/>
    <w:rsid w:val="00A10998"/>
    <w:rsid w:val="00A11F86"/>
    <w:rsid w:val="00A122B1"/>
    <w:rsid w:val="00A12642"/>
    <w:rsid w:val="00A131EC"/>
    <w:rsid w:val="00A16533"/>
    <w:rsid w:val="00A205AE"/>
    <w:rsid w:val="00A20C8F"/>
    <w:rsid w:val="00A21346"/>
    <w:rsid w:val="00A22CCC"/>
    <w:rsid w:val="00A2483D"/>
    <w:rsid w:val="00A24DBD"/>
    <w:rsid w:val="00A2539C"/>
    <w:rsid w:val="00A30681"/>
    <w:rsid w:val="00A328CA"/>
    <w:rsid w:val="00A3420A"/>
    <w:rsid w:val="00A3495C"/>
    <w:rsid w:val="00A34CAA"/>
    <w:rsid w:val="00A350B0"/>
    <w:rsid w:val="00A36C74"/>
    <w:rsid w:val="00A430C4"/>
    <w:rsid w:val="00A44505"/>
    <w:rsid w:val="00A463E6"/>
    <w:rsid w:val="00A46E00"/>
    <w:rsid w:val="00A47ABD"/>
    <w:rsid w:val="00A47C0D"/>
    <w:rsid w:val="00A50022"/>
    <w:rsid w:val="00A528BE"/>
    <w:rsid w:val="00A545D8"/>
    <w:rsid w:val="00A54753"/>
    <w:rsid w:val="00A54D3F"/>
    <w:rsid w:val="00A55224"/>
    <w:rsid w:val="00A57C1D"/>
    <w:rsid w:val="00A63504"/>
    <w:rsid w:val="00A643D7"/>
    <w:rsid w:val="00A6678B"/>
    <w:rsid w:val="00A66D21"/>
    <w:rsid w:val="00A67917"/>
    <w:rsid w:val="00A67E93"/>
    <w:rsid w:val="00A7038E"/>
    <w:rsid w:val="00A72F9C"/>
    <w:rsid w:val="00A7315C"/>
    <w:rsid w:val="00A73246"/>
    <w:rsid w:val="00A7392C"/>
    <w:rsid w:val="00A746A6"/>
    <w:rsid w:val="00A76B67"/>
    <w:rsid w:val="00A80D73"/>
    <w:rsid w:val="00A8115C"/>
    <w:rsid w:val="00A81A3E"/>
    <w:rsid w:val="00A82226"/>
    <w:rsid w:val="00A86CF5"/>
    <w:rsid w:val="00A8745A"/>
    <w:rsid w:val="00A8752E"/>
    <w:rsid w:val="00A87E8A"/>
    <w:rsid w:val="00A90910"/>
    <w:rsid w:val="00A911F4"/>
    <w:rsid w:val="00A93E0E"/>
    <w:rsid w:val="00A94EE1"/>
    <w:rsid w:val="00A95A47"/>
    <w:rsid w:val="00A96D64"/>
    <w:rsid w:val="00AA0087"/>
    <w:rsid w:val="00AA0324"/>
    <w:rsid w:val="00AA0AD5"/>
    <w:rsid w:val="00AA16A2"/>
    <w:rsid w:val="00AA269D"/>
    <w:rsid w:val="00AA363C"/>
    <w:rsid w:val="00AA50D5"/>
    <w:rsid w:val="00AA58A1"/>
    <w:rsid w:val="00AB03D2"/>
    <w:rsid w:val="00AB2279"/>
    <w:rsid w:val="00AB6A74"/>
    <w:rsid w:val="00AB6B12"/>
    <w:rsid w:val="00AB7D04"/>
    <w:rsid w:val="00AC3CC9"/>
    <w:rsid w:val="00AC64F6"/>
    <w:rsid w:val="00AC7F70"/>
    <w:rsid w:val="00AD0128"/>
    <w:rsid w:val="00AD3268"/>
    <w:rsid w:val="00AE1E61"/>
    <w:rsid w:val="00AE2EE5"/>
    <w:rsid w:val="00AE435C"/>
    <w:rsid w:val="00AE4F62"/>
    <w:rsid w:val="00AE5433"/>
    <w:rsid w:val="00AE7529"/>
    <w:rsid w:val="00AE7A8A"/>
    <w:rsid w:val="00AF0D06"/>
    <w:rsid w:val="00AF2012"/>
    <w:rsid w:val="00AF2666"/>
    <w:rsid w:val="00AF27B5"/>
    <w:rsid w:val="00AF3F20"/>
    <w:rsid w:val="00AF46CF"/>
    <w:rsid w:val="00AF4857"/>
    <w:rsid w:val="00B016E1"/>
    <w:rsid w:val="00B017D9"/>
    <w:rsid w:val="00B02823"/>
    <w:rsid w:val="00B06E8F"/>
    <w:rsid w:val="00B0725E"/>
    <w:rsid w:val="00B10E91"/>
    <w:rsid w:val="00B11D79"/>
    <w:rsid w:val="00B1441B"/>
    <w:rsid w:val="00B145AF"/>
    <w:rsid w:val="00B15712"/>
    <w:rsid w:val="00B15733"/>
    <w:rsid w:val="00B17C7C"/>
    <w:rsid w:val="00B211DF"/>
    <w:rsid w:val="00B21377"/>
    <w:rsid w:val="00B23A36"/>
    <w:rsid w:val="00B24C3B"/>
    <w:rsid w:val="00B2598D"/>
    <w:rsid w:val="00B25CE3"/>
    <w:rsid w:val="00B3078A"/>
    <w:rsid w:val="00B32B85"/>
    <w:rsid w:val="00B34382"/>
    <w:rsid w:val="00B3460B"/>
    <w:rsid w:val="00B35B8E"/>
    <w:rsid w:val="00B37CCF"/>
    <w:rsid w:val="00B42652"/>
    <w:rsid w:val="00B447D1"/>
    <w:rsid w:val="00B461CD"/>
    <w:rsid w:val="00B47A07"/>
    <w:rsid w:val="00B524C0"/>
    <w:rsid w:val="00B554A3"/>
    <w:rsid w:val="00B56157"/>
    <w:rsid w:val="00B567AF"/>
    <w:rsid w:val="00B56E27"/>
    <w:rsid w:val="00B60321"/>
    <w:rsid w:val="00B61FA4"/>
    <w:rsid w:val="00B66A43"/>
    <w:rsid w:val="00B66ED0"/>
    <w:rsid w:val="00B67C11"/>
    <w:rsid w:val="00B71FF5"/>
    <w:rsid w:val="00B7222A"/>
    <w:rsid w:val="00B756B6"/>
    <w:rsid w:val="00B764B9"/>
    <w:rsid w:val="00B766BB"/>
    <w:rsid w:val="00B76902"/>
    <w:rsid w:val="00B806A3"/>
    <w:rsid w:val="00B828D9"/>
    <w:rsid w:val="00B831CF"/>
    <w:rsid w:val="00B9008D"/>
    <w:rsid w:val="00B95868"/>
    <w:rsid w:val="00B9687A"/>
    <w:rsid w:val="00B97BD3"/>
    <w:rsid w:val="00BA1643"/>
    <w:rsid w:val="00BA241E"/>
    <w:rsid w:val="00BA577B"/>
    <w:rsid w:val="00BA58F0"/>
    <w:rsid w:val="00BA5D0B"/>
    <w:rsid w:val="00BB1EF6"/>
    <w:rsid w:val="00BB408A"/>
    <w:rsid w:val="00BC02AE"/>
    <w:rsid w:val="00BC3A84"/>
    <w:rsid w:val="00BC6D16"/>
    <w:rsid w:val="00BC7315"/>
    <w:rsid w:val="00BC7F8E"/>
    <w:rsid w:val="00BD1CD9"/>
    <w:rsid w:val="00BD2233"/>
    <w:rsid w:val="00BD3B76"/>
    <w:rsid w:val="00BD7149"/>
    <w:rsid w:val="00BD77FB"/>
    <w:rsid w:val="00BE1864"/>
    <w:rsid w:val="00BE369C"/>
    <w:rsid w:val="00BE49AC"/>
    <w:rsid w:val="00BE4BB3"/>
    <w:rsid w:val="00BE7051"/>
    <w:rsid w:val="00BE77EC"/>
    <w:rsid w:val="00BF1EA2"/>
    <w:rsid w:val="00BF2A06"/>
    <w:rsid w:val="00BF556C"/>
    <w:rsid w:val="00C00315"/>
    <w:rsid w:val="00C00D88"/>
    <w:rsid w:val="00C00FFC"/>
    <w:rsid w:val="00C02258"/>
    <w:rsid w:val="00C02438"/>
    <w:rsid w:val="00C025E1"/>
    <w:rsid w:val="00C02F4D"/>
    <w:rsid w:val="00C037B8"/>
    <w:rsid w:val="00C04873"/>
    <w:rsid w:val="00C05CD3"/>
    <w:rsid w:val="00C06193"/>
    <w:rsid w:val="00C11C0B"/>
    <w:rsid w:val="00C122D8"/>
    <w:rsid w:val="00C1350A"/>
    <w:rsid w:val="00C13CBB"/>
    <w:rsid w:val="00C14F20"/>
    <w:rsid w:val="00C16E50"/>
    <w:rsid w:val="00C20B4B"/>
    <w:rsid w:val="00C2388D"/>
    <w:rsid w:val="00C24631"/>
    <w:rsid w:val="00C27636"/>
    <w:rsid w:val="00C31187"/>
    <w:rsid w:val="00C312B0"/>
    <w:rsid w:val="00C31798"/>
    <w:rsid w:val="00C31E0A"/>
    <w:rsid w:val="00C3274C"/>
    <w:rsid w:val="00C33D3B"/>
    <w:rsid w:val="00C376F8"/>
    <w:rsid w:val="00C41D2A"/>
    <w:rsid w:val="00C426B1"/>
    <w:rsid w:val="00C4428A"/>
    <w:rsid w:val="00C44AFC"/>
    <w:rsid w:val="00C452F0"/>
    <w:rsid w:val="00C4569F"/>
    <w:rsid w:val="00C46FA1"/>
    <w:rsid w:val="00C4774D"/>
    <w:rsid w:val="00C50E41"/>
    <w:rsid w:val="00C51F64"/>
    <w:rsid w:val="00C56F22"/>
    <w:rsid w:val="00C577DE"/>
    <w:rsid w:val="00C57A23"/>
    <w:rsid w:val="00C60B2B"/>
    <w:rsid w:val="00C60C26"/>
    <w:rsid w:val="00C62E71"/>
    <w:rsid w:val="00C6383D"/>
    <w:rsid w:val="00C6394C"/>
    <w:rsid w:val="00C65A99"/>
    <w:rsid w:val="00C6608C"/>
    <w:rsid w:val="00C661BF"/>
    <w:rsid w:val="00C71D85"/>
    <w:rsid w:val="00C73542"/>
    <w:rsid w:val="00C73907"/>
    <w:rsid w:val="00C75EDD"/>
    <w:rsid w:val="00C76375"/>
    <w:rsid w:val="00C76A64"/>
    <w:rsid w:val="00C770DE"/>
    <w:rsid w:val="00C81F1E"/>
    <w:rsid w:val="00C833E6"/>
    <w:rsid w:val="00C8349A"/>
    <w:rsid w:val="00C856F5"/>
    <w:rsid w:val="00C85DCF"/>
    <w:rsid w:val="00C86F3E"/>
    <w:rsid w:val="00C87E63"/>
    <w:rsid w:val="00C93654"/>
    <w:rsid w:val="00C94856"/>
    <w:rsid w:val="00C9537A"/>
    <w:rsid w:val="00CA0451"/>
    <w:rsid w:val="00CA178C"/>
    <w:rsid w:val="00CA43F7"/>
    <w:rsid w:val="00CA4AAD"/>
    <w:rsid w:val="00CA516E"/>
    <w:rsid w:val="00CA61FC"/>
    <w:rsid w:val="00CA63A4"/>
    <w:rsid w:val="00CB2BEC"/>
    <w:rsid w:val="00CB5EEB"/>
    <w:rsid w:val="00CB6140"/>
    <w:rsid w:val="00CB6F83"/>
    <w:rsid w:val="00CB730A"/>
    <w:rsid w:val="00CC15D3"/>
    <w:rsid w:val="00CC25CE"/>
    <w:rsid w:val="00CC28DD"/>
    <w:rsid w:val="00CD40E4"/>
    <w:rsid w:val="00CD5A36"/>
    <w:rsid w:val="00CE1349"/>
    <w:rsid w:val="00CE1812"/>
    <w:rsid w:val="00CE5B6B"/>
    <w:rsid w:val="00CE7196"/>
    <w:rsid w:val="00CE7784"/>
    <w:rsid w:val="00CF070D"/>
    <w:rsid w:val="00CF0966"/>
    <w:rsid w:val="00CF0AF6"/>
    <w:rsid w:val="00CF25D9"/>
    <w:rsid w:val="00CF2635"/>
    <w:rsid w:val="00CF2B2E"/>
    <w:rsid w:val="00CF3684"/>
    <w:rsid w:val="00D00AA0"/>
    <w:rsid w:val="00D00F51"/>
    <w:rsid w:val="00D01D69"/>
    <w:rsid w:val="00D01EDC"/>
    <w:rsid w:val="00D03124"/>
    <w:rsid w:val="00D03C5B"/>
    <w:rsid w:val="00D03CFE"/>
    <w:rsid w:val="00D050CD"/>
    <w:rsid w:val="00D071A0"/>
    <w:rsid w:val="00D10777"/>
    <w:rsid w:val="00D109AD"/>
    <w:rsid w:val="00D1278A"/>
    <w:rsid w:val="00D12AAD"/>
    <w:rsid w:val="00D137A3"/>
    <w:rsid w:val="00D146CD"/>
    <w:rsid w:val="00D14BFA"/>
    <w:rsid w:val="00D16229"/>
    <w:rsid w:val="00D17ECF"/>
    <w:rsid w:val="00D22E0C"/>
    <w:rsid w:val="00D23C97"/>
    <w:rsid w:val="00D30666"/>
    <w:rsid w:val="00D30897"/>
    <w:rsid w:val="00D32BB6"/>
    <w:rsid w:val="00D333B8"/>
    <w:rsid w:val="00D37CA0"/>
    <w:rsid w:val="00D37D3E"/>
    <w:rsid w:val="00D403C5"/>
    <w:rsid w:val="00D40558"/>
    <w:rsid w:val="00D40F57"/>
    <w:rsid w:val="00D43290"/>
    <w:rsid w:val="00D43849"/>
    <w:rsid w:val="00D46729"/>
    <w:rsid w:val="00D5112A"/>
    <w:rsid w:val="00D52FD2"/>
    <w:rsid w:val="00D54874"/>
    <w:rsid w:val="00D54A39"/>
    <w:rsid w:val="00D569CF"/>
    <w:rsid w:val="00D56D6F"/>
    <w:rsid w:val="00D572D2"/>
    <w:rsid w:val="00D60789"/>
    <w:rsid w:val="00D61023"/>
    <w:rsid w:val="00D66706"/>
    <w:rsid w:val="00D720E9"/>
    <w:rsid w:val="00D73652"/>
    <w:rsid w:val="00D73820"/>
    <w:rsid w:val="00D73C6F"/>
    <w:rsid w:val="00D76421"/>
    <w:rsid w:val="00D807DC"/>
    <w:rsid w:val="00D80AF6"/>
    <w:rsid w:val="00D81962"/>
    <w:rsid w:val="00D81CFB"/>
    <w:rsid w:val="00D834B8"/>
    <w:rsid w:val="00D86579"/>
    <w:rsid w:val="00D87809"/>
    <w:rsid w:val="00D93558"/>
    <w:rsid w:val="00D9627E"/>
    <w:rsid w:val="00D979A8"/>
    <w:rsid w:val="00DA016E"/>
    <w:rsid w:val="00DA0540"/>
    <w:rsid w:val="00DA22C3"/>
    <w:rsid w:val="00DA30AB"/>
    <w:rsid w:val="00DA4005"/>
    <w:rsid w:val="00DA4C14"/>
    <w:rsid w:val="00DA60E4"/>
    <w:rsid w:val="00DB006C"/>
    <w:rsid w:val="00DB1982"/>
    <w:rsid w:val="00DB1C24"/>
    <w:rsid w:val="00DB363E"/>
    <w:rsid w:val="00DB4C35"/>
    <w:rsid w:val="00DB51FA"/>
    <w:rsid w:val="00DB6FBC"/>
    <w:rsid w:val="00DC014D"/>
    <w:rsid w:val="00DC145F"/>
    <w:rsid w:val="00DC1988"/>
    <w:rsid w:val="00DC1B45"/>
    <w:rsid w:val="00DC1F19"/>
    <w:rsid w:val="00DC2122"/>
    <w:rsid w:val="00DC4982"/>
    <w:rsid w:val="00DC54B3"/>
    <w:rsid w:val="00DC6001"/>
    <w:rsid w:val="00DC678A"/>
    <w:rsid w:val="00DC79B7"/>
    <w:rsid w:val="00DD1275"/>
    <w:rsid w:val="00DD2446"/>
    <w:rsid w:val="00DD299D"/>
    <w:rsid w:val="00DD2CD9"/>
    <w:rsid w:val="00DD2E1F"/>
    <w:rsid w:val="00DD3AB5"/>
    <w:rsid w:val="00DD58B8"/>
    <w:rsid w:val="00DE24F5"/>
    <w:rsid w:val="00DE32F5"/>
    <w:rsid w:val="00DE601E"/>
    <w:rsid w:val="00DE616D"/>
    <w:rsid w:val="00DE64AE"/>
    <w:rsid w:val="00DE738C"/>
    <w:rsid w:val="00DE7CCB"/>
    <w:rsid w:val="00DF1CC2"/>
    <w:rsid w:val="00DF27D3"/>
    <w:rsid w:val="00DF31B3"/>
    <w:rsid w:val="00DF3987"/>
    <w:rsid w:val="00DF71D6"/>
    <w:rsid w:val="00DF75F4"/>
    <w:rsid w:val="00E017A6"/>
    <w:rsid w:val="00E040BD"/>
    <w:rsid w:val="00E10324"/>
    <w:rsid w:val="00E11061"/>
    <w:rsid w:val="00E15673"/>
    <w:rsid w:val="00E16C4E"/>
    <w:rsid w:val="00E175EE"/>
    <w:rsid w:val="00E20060"/>
    <w:rsid w:val="00E21634"/>
    <w:rsid w:val="00E2171F"/>
    <w:rsid w:val="00E219CF"/>
    <w:rsid w:val="00E327E8"/>
    <w:rsid w:val="00E335AB"/>
    <w:rsid w:val="00E34465"/>
    <w:rsid w:val="00E371FF"/>
    <w:rsid w:val="00E374A8"/>
    <w:rsid w:val="00E40B05"/>
    <w:rsid w:val="00E42B67"/>
    <w:rsid w:val="00E43A94"/>
    <w:rsid w:val="00E455DD"/>
    <w:rsid w:val="00E47F0B"/>
    <w:rsid w:val="00E505FD"/>
    <w:rsid w:val="00E522C0"/>
    <w:rsid w:val="00E572A0"/>
    <w:rsid w:val="00E60792"/>
    <w:rsid w:val="00E610CF"/>
    <w:rsid w:val="00E6342E"/>
    <w:rsid w:val="00E649B3"/>
    <w:rsid w:val="00E65D9C"/>
    <w:rsid w:val="00E66341"/>
    <w:rsid w:val="00E674D6"/>
    <w:rsid w:val="00E704E8"/>
    <w:rsid w:val="00E7172D"/>
    <w:rsid w:val="00E7187E"/>
    <w:rsid w:val="00E71D94"/>
    <w:rsid w:val="00E760D0"/>
    <w:rsid w:val="00E77B31"/>
    <w:rsid w:val="00E82FA0"/>
    <w:rsid w:val="00E83A4E"/>
    <w:rsid w:val="00E87F36"/>
    <w:rsid w:val="00E90979"/>
    <w:rsid w:val="00E922DB"/>
    <w:rsid w:val="00E93DC6"/>
    <w:rsid w:val="00E93F39"/>
    <w:rsid w:val="00E96C5B"/>
    <w:rsid w:val="00E975FD"/>
    <w:rsid w:val="00E97992"/>
    <w:rsid w:val="00EA0C87"/>
    <w:rsid w:val="00EA433C"/>
    <w:rsid w:val="00EA4D2A"/>
    <w:rsid w:val="00EA5D53"/>
    <w:rsid w:val="00EB2217"/>
    <w:rsid w:val="00EB35E8"/>
    <w:rsid w:val="00EB43EE"/>
    <w:rsid w:val="00EB6D91"/>
    <w:rsid w:val="00EB75C0"/>
    <w:rsid w:val="00EC06B1"/>
    <w:rsid w:val="00EC1675"/>
    <w:rsid w:val="00EC5697"/>
    <w:rsid w:val="00EC60F4"/>
    <w:rsid w:val="00EC76AB"/>
    <w:rsid w:val="00ED081E"/>
    <w:rsid w:val="00ED3B13"/>
    <w:rsid w:val="00ED6C3B"/>
    <w:rsid w:val="00ED722F"/>
    <w:rsid w:val="00ED7740"/>
    <w:rsid w:val="00EE05AD"/>
    <w:rsid w:val="00EE5981"/>
    <w:rsid w:val="00EF3249"/>
    <w:rsid w:val="00EF59FA"/>
    <w:rsid w:val="00F003AB"/>
    <w:rsid w:val="00F016F3"/>
    <w:rsid w:val="00F05437"/>
    <w:rsid w:val="00F11FD7"/>
    <w:rsid w:val="00F1282A"/>
    <w:rsid w:val="00F1397B"/>
    <w:rsid w:val="00F14EEE"/>
    <w:rsid w:val="00F15430"/>
    <w:rsid w:val="00F17310"/>
    <w:rsid w:val="00F2128D"/>
    <w:rsid w:val="00F21AFE"/>
    <w:rsid w:val="00F23FDD"/>
    <w:rsid w:val="00F25299"/>
    <w:rsid w:val="00F30B49"/>
    <w:rsid w:val="00F41759"/>
    <w:rsid w:val="00F41FB1"/>
    <w:rsid w:val="00F43836"/>
    <w:rsid w:val="00F45B96"/>
    <w:rsid w:val="00F465F5"/>
    <w:rsid w:val="00F47C1E"/>
    <w:rsid w:val="00F47EBD"/>
    <w:rsid w:val="00F508B9"/>
    <w:rsid w:val="00F537EE"/>
    <w:rsid w:val="00F53D35"/>
    <w:rsid w:val="00F542FB"/>
    <w:rsid w:val="00F560BD"/>
    <w:rsid w:val="00F575CF"/>
    <w:rsid w:val="00F57629"/>
    <w:rsid w:val="00F57E74"/>
    <w:rsid w:val="00F621E4"/>
    <w:rsid w:val="00F6332C"/>
    <w:rsid w:val="00F635FF"/>
    <w:rsid w:val="00F6408A"/>
    <w:rsid w:val="00F64A24"/>
    <w:rsid w:val="00F65527"/>
    <w:rsid w:val="00F70A77"/>
    <w:rsid w:val="00F74985"/>
    <w:rsid w:val="00F74E2F"/>
    <w:rsid w:val="00F75F97"/>
    <w:rsid w:val="00F75F98"/>
    <w:rsid w:val="00F82CF8"/>
    <w:rsid w:val="00F849E8"/>
    <w:rsid w:val="00F85AC7"/>
    <w:rsid w:val="00F86654"/>
    <w:rsid w:val="00F9134E"/>
    <w:rsid w:val="00F928B4"/>
    <w:rsid w:val="00F9482E"/>
    <w:rsid w:val="00F94AF8"/>
    <w:rsid w:val="00F9540A"/>
    <w:rsid w:val="00F962E5"/>
    <w:rsid w:val="00F97544"/>
    <w:rsid w:val="00F97C5D"/>
    <w:rsid w:val="00FA01B8"/>
    <w:rsid w:val="00FA0A42"/>
    <w:rsid w:val="00FA58FE"/>
    <w:rsid w:val="00FB3043"/>
    <w:rsid w:val="00FB3B92"/>
    <w:rsid w:val="00FB40F3"/>
    <w:rsid w:val="00FB632B"/>
    <w:rsid w:val="00FC04A1"/>
    <w:rsid w:val="00FC07E2"/>
    <w:rsid w:val="00FC31A8"/>
    <w:rsid w:val="00FC385B"/>
    <w:rsid w:val="00FC4A11"/>
    <w:rsid w:val="00FC5980"/>
    <w:rsid w:val="00FC7D0F"/>
    <w:rsid w:val="00FD0003"/>
    <w:rsid w:val="00FD0C64"/>
    <w:rsid w:val="00FD0D4D"/>
    <w:rsid w:val="00FD122F"/>
    <w:rsid w:val="00FD1DB6"/>
    <w:rsid w:val="00FD1FA7"/>
    <w:rsid w:val="00FD46FB"/>
    <w:rsid w:val="00FD6203"/>
    <w:rsid w:val="00FD6EBF"/>
    <w:rsid w:val="00FD7DA6"/>
    <w:rsid w:val="00FE2908"/>
    <w:rsid w:val="00FE2B55"/>
    <w:rsid w:val="00FE2DC7"/>
    <w:rsid w:val="00FE6DE7"/>
    <w:rsid w:val="00FE716B"/>
    <w:rsid w:val="00FF3B7B"/>
    <w:rsid w:val="00FF4BEE"/>
    <w:rsid w:val="00FF4E02"/>
    <w:rsid w:val="00FF4F3E"/>
    <w:rsid w:val="00FF746A"/>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122E"/>
  <w15:docId w15:val="{20F52ABA-BEDC-4C8B-A48A-61668A7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76"/>
  </w:style>
  <w:style w:type="paragraph" w:styleId="Heading1">
    <w:name w:val="heading 1"/>
    <w:basedOn w:val="Normal"/>
    <w:next w:val="Normal"/>
    <w:link w:val="Heading1Char"/>
    <w:uiPriority w:val="9"/>
    <w:qFormat/>
    <w:rsid w:val="00CA0451"/>
    <w:pPr>
      <w:keepNext/>
      <w:keepLines/>
      <w:spacing w:before="240" w:after="0"/>
      <w:outlineLvl w:val="0"/>
    </w:pPr>
    <w:rPr>
      <w:rFonts w:eastAsiaTheme="majorEastAsia" w:cstheme="majorBidi"/>
      <w:sz w:val="32"/>
      <w:szCs w:val="32"/>
    </w:rPr>
  </w:style>
  <w:style w:type="paragraph" w:styleId="Heading2">
    <w:name w:val="heading 2"/>
    <w:basedOn w:val="NoSpacing"/>
    <w:next w:val="Normal"/>
    <w:link w:val="Heading2Char"/>
    <w:uiPriority w:val="9"/>
    <w:unhideWhenUsed/>
    <w:qFormat/>
    <w:rsid w:val="00B97BD3"/>
    <w:pPr>
      <w:outlineLvl w:val="1"/>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B49"/>
    <w:pPr>
      <w:ind w:left="720"/>
      <w:contextualSpacing/>
    </w:pPr>
  </w:style>
  <w:style w:type="paragraph" w:customStyle="1" w:styleId="Default">
    <w:name w:val="Default"/>
    <w:rsid w:val="00F30B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953802"/>
    <w:rPr>
      <w:color w:val="0000FF"/>
      <w:u w:val="single"/>
    </w:rPr>
  </w:style>
  <w:style w:type="character" w:styleId="CommentReference">
    <w:name w:val="annotation reference"/>
    <w:basedOn w:val="DefaultParagraphFont"/>
    <w:uiPriority w:val="99"/>
    <w:semiHidden/>
    <w:unhideWhenUsed/>
    <w:rsid w:val="002E663D"/>
    <w:rPr>
      <w:sz w:val="16"/>
      <w:szCs w:val="16"/>
    </w:rPr>
  </w:style>
  <w:style w:type="paragraph" w:styleId="CommentText">
    <w:name w:val="annotation text"/>
    <w:basedOn w:val="Normal"/>
    <w:link w:val="CommentTextChar"/>
    <w:uiPriority w:val="99"/>
    <w:semiHidden/>
    <w:unhideWhenUsed/>
    <w:rsid w:val="002E663D"/>
    <w:pPr>
      <w:spacing w:line="240" w:lineRule="auto"/>
    </w:pPr>
    <w:rPr>
      <w:sz w:val="20"/>
      <w:szCs w:val="20"/>
    </w:rPr>
  </w:style>
  <w:style w:type="character" w:customStyle="1" w:styleId="CommentTextChar">
    <w:name w:val="Comment Text Char"/>
    <w:basedOn w:val="DefaultParagraphFont"/>
    <w:link w:val="CommentText"/>
    <w:uiPriority w:val="99"/>
    <w:semiHidden/>
    <w:rsid w:val="002E663D"/>
    <w:rPr>
      <w:sz w:val="20"/>
      <w:szCs w:val="20"/>
    </w:rPr>
  </w:style>
  <w:style w:type="paragraph" w:styleId="CommentSubject">
    <w:name w:val="annotation subject"/>
    <w:basedOn w:val="CommentText"/>
    <w:next w:val="CommentText"/>
    <w:link w:val="CommentSubjectChar"/>
    <w:uiPriority w:val="99"/>
    <w:semiHidden/>
    <w:unhideWhenUsed/>
    <w:rsid w:val="002E663D"/>
    <w:rPr>
      <w:b/>
      <w:bCs/>
    </w:rPr>
  </w:style>
  <w:style w:type="character" w:customStyle="1" w:styleId="CommentSubjectChar">
    <w:name w:val="Comment Subject Char"/>
    <w:basedOn w:val="CommentTextChar"/>
    <w:link w:val="CommentSubject"/>
    <w:uiPriority w:val="99"/>
    <w:semiHidden/>
    <w:rsid w:val="002E663D"/>
    <w:rPr>
      <w:b/>
      <w:bCs/>
      <w:sz w:val="20"/>
      <w:szCs w:val="20"/>
    </w:rPr>
  </w:style>
  <w:style w:type="paragraph" w:styleId="BalloonText">
    <w:name w:val="Balloon Text"/>
    <w:basedOn w:val="Normal"/>
    <w:link w:val="BalloonTextChar"/>
    <w:uiPriority w:val="99"/>
    <w:semiHidden/>
    <w:unhideWhenUsed/>
    <w:rsid w:val="002E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3D"/>
    <w:rPr>
      <w:rFonts w:ascii="Tahoma" w:hAnsi="Tahoma" w:cs="Tahoma"/>
      <w:sz w:val="16"/>
      <w:szCs w:val="16"/>
    </w:rPr>
  </w:style>
  <w:style w:type="character" w:customStyle="1" w:styleId="Heading1Char">
    <w:name w:val="Heading 1 Char"/>
    <w:basedOn w:val="DefaultParagraphFont"/>
    <w:link w:val="Heading1"/>
    <w:uiPriority w:val="9"/>
    <w:rsid w:val="00CA0451"/>
    <w:rPr>
      <w:rFonts w:eastAsiaTheme="majorEastAsia" w:cstheme="majorBidi"/>
      <w:sz w:val="32"/>
      <w:szCs w:val="32"/>
    </w:rPr>
  </w:style>
  <w:style w:type="paragraph" w:styleId="NoSpacing">
    <w:name w:val="No Spacing"/>
    <w:uiPriority w:val="1"/>
    <w:qFormat/>
    <w:rsid w:val="0074557F"/>
    <w:pPr>
      <w:spacing w:after="0" w:line="240" w:lineRule="auto"/>
    </w:pPr>
  </w:style>
  <w:style w:type="character" w:customStyle="1" w:styleId="Heading2Char">
    <w:name w:val="Heading 2 Char"/>
    <w:basedOn w:val="DefaultParagraphFont"/>
    <w:link w:val="Heading2"/>
    <w:uiPriority w:val="9"/>
    <w:rsid w:val="00B97BD3"/>
    <w:rPr>
      <w:rFonts w:eastAsia="Times New Roman"/>
      <w:b/>
      <w:sz w:val="28"/>
    </w:rPr>
  </w:style>
  <w:style w:type="paragraph" w:customStyle="1" w:styleId="CM1">
    <w:name w:val="CM1"/>
    <w:basedOn w:val="Default"/>
    <w:next w:val="Default"/>
    <w:uiPriority w:val="99"/>
    <w:rsid w:val="005944A9"/>
    <w:rPr>
      <w:rFonts w:ascii="EUAlbertina" w:hAnsi="EUAlbertina" w:cstheme="minorBidi"/>
      <w:color w:val="auto"/>
    </w:rPr>
  </w:style>
  <w:style w:type="paragraph" w:customStyle="1" w:styleId="CM3">
    <w:name w:val="CM3"/>
    <w:basedOn w:val="Default"/>
    <w:next w:val="Default"/>
    <w:uiPriority w:val="99"/>
    <w:rsid w:val="005944A9"/>
    <w:rPr>
      <w:rFonts w:ascii="EUAlbertina" w:hAnsi="EUAlbertina" w:cstheme="minorBidi"/>
      <w:color w:val="auto"/>
    </w:rPr>
  </w:style>
  <w:style w:type="paragraph" w:customStyle="1" w:styleId="CM4">
    <w:name w:val="CM4"/>
    <w:basedOn w:val="Default"/>
    <w:next w:val="Default"/>
    <w:uiPriority w:val="99"/>
    <w:rsid w:val="005944A9"/>
    <w:rPr>
      <w:rFonts w:ascii="EUAlbertina" w:hAnsi="EUAlbertina" w:cstheme="minorBidi"/>
      <w:color w:val="auto"/>
    </w:rPr>
  </w:style>
  <w:style w:type="character" w:styleId="FollowedHyperlink">
    <w:name w:val="FollowedHyperlink"/>
    <w:basedOn w:val="DefaultParagraphFont"/>
    <w:uiPriority w:val="99"/>
    <w:semiHidden/>
    <w:unhideWhenUsed/>
    <w:rsid w:val="002D0F85"/>
    <w:rPr>
      <w:color w:val="800080" w:themeColor="followedHyperlink"/>
      <w:u w:val="single"/>
    </w:rPr>
  </w:style>
  <w:style w:type="paragraph" w:styleId="Header">
    <w:name w:val="header"/>
    <w:basedOn w:val="Normal"/>
    <w:link w:val="HeaderChar"/>
    <w:uiPriority w:val="99"/>
    <w:unhideWhenUsed/>
    <w:rsid w:val="000F2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A4C"/>
  </w:style>
  <w:style w:type="paragraph" w:styleId="FootnoteText">
    <w:name w:val="footnote text"/>
    <w:basedOn w:val="Normal"/>
    <w:link w:val="FootnoteTextChar"/>
    <w:uiPriority w:val="99"/>
    <w:semiHidden/>
    <w:unhideWhenUsed/>
    <w:rsid w:val="00570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230"/>
    <w:rPr>
      <w:sz w:val="20"/>
      <w:szCs w:val="20"/>
    </w:rPr>
  </w:style>
  <w:style w:type="character" w:styleId="FootnoteReference">
    <w:name w:val="footnote reference"/>
    <w:basedOn w:val="DefaultParagraphFont"/>
    <w:uiPriority w:val="99"/>
    <w:semiHidden/>
    <w:unhideWhenUsed/>
    <w:rsid w:val="00570230"/>
    <w:rPr>
      <w:vertAlign w:val="superscript"/>
    </w:rPr>
  </w:style>
  <w:style w:type="paragraph" w:styleId="Revision">
    <w:name w:val="Revision"/>
    <w:hidden/>
    <w:uiPriority w:val="99"/>
    <w:semiHidden/>
    <w:rsid w:val="00367F11"/>
    <w:pPr>
      <w:spacing w:after="0" w:line="240" w:lineRule="auto"/>
    </w:pPr>
  </w:style>
  <w:style w:type="character" w:customStyle="1" w:styleId="1">
    <w:name w:val="Ανεπίλυτη αναφορά1"/>
    <w:basedOn w:val="DefaultParagraphFont"/>
    <w:uiPriority w:val="99"/>
    <w:semiHidden/>
    <w:unhideWhenUsed/>
    <w:rsid w:val="003A711B"/>
    <w:rPr>
      <w:color w:val="605E5C"/>
      <w:shd w:val="clear" w:color="auto" w:fill="E1DFDD"/>
    </w:rPr>
  </w:style>
  <w:style w:type="character" w:customStyle="1" w:styleId="Menzionenonrisolta1">
    <w:name w:val="Menzione non risolta1"/>
    <w:basedOn w:val="DefaultParagraphFont"/>
    <w:uiPriority w:val="99"/>
    <w:semiHidden/>
    <w:unhideWhenUsed/>
    <w:rsid w:val="00F75F97"/>
    <w:rPr>
      <w:color w:val="605E5C"/>
      <w:shd w:val="clear" w:color="auto" w:fill="E1DFDD"/>
    </w:rPr>
  </w:style>
  <w:style w:type="character" w:customStyle="1" w:styleId="Menzionenonrisolta2">
    <w:name w:val="Menzione non risolta2"/>
    <w:basedOn w:val="DefaultParagraphFont"/>
    <w:uiPriority w:val="99"/>
    <w:semiHidden/>
    <w:unhideWhenUsed/>
    <w:rsid w:val="00A8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0900">
      <w:bodyDiv w:val="1"/>
      <w:marLeft w:val="0"/>
      <w:marRight w:val="0"/>
      <w:marTop w:val="0"/>
      <w:marBottom w:val="0"/>
      <w:divBdr>
        <w:top w:val="none" w:sz="0" w:space="0" w:color="auto"/>
        <w:left w:val="none" w:sz="0" w:space="0" w:color="auto"/>
        <w:bottom w:val="none" w:sz="0" w:space="0" w:color="auto"/>
        <w:right w:val="none" w:sz="0" w:space="0" w:color="auto"/>
      </w:divBdr>
    </w:div>
    <w:div w:id="1084303875">
      <w:bodyDiv w:val="1"/>
      <w:marLeft w:val="0"/>
      <w:marRight w:val="0"/>
      <w:marTop w:val="0"/>
      <w:marBottom w:val="0"/>
      <w:divBdr>
        <w:top w:val="none" w:sz="0" w:space="0" w:color="auto"/>
        <w:left w:val="none" w:sz="0" w:space="0" w:color="auto"/>
        <w:bottom w:val="none" w:sz="0" w:space="0" w:color="auto"/>
        <w:right w:val="none" w:sz="0" w:space="0" w:color="auto"/>
      </w:divBdr>
    </w:div>
    <w:div w:id="1280257020">
      <w:bodyDiv w:val="1"/>
      <w:marLeft w:val="0"/>
      <w:marRight w:val="0"/>
      <w:marTop w:val="0"/>
      <w:marBottom w:val="0"/>
      <w:divBdr>
        <w:top w:val="none" w:sz="0" w:space="0" w:color="auto"/>
        <w:left w:val="none" w:sz="0" w:space="0" w:color="auto"/>
        <w:bottom w:val="none" w:sz="0" w:space="0" w:color="auto"/>
        <w:right w:val="none" w:sz="0" w:space="0" w:color="auto"/>
      </w:divBdr>
    </w:div>
    <w:div w:id="18779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AS@ec.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ballastwatermanagement.co.uk/news/view,counting-the-cost-of-ballast-treatment_42146.htm" TargetMode="External"/><Relationship Id="rId7" Type="http://schemas.openxmlformats.org/officeDocument/2006/relationships/hyperlink" Target="https://collinsnets.co.uk/product/1-mtr-high-large-fyke-nets" TargetMode="External"/><Relationship Id="rId2" Type="http://schemas.openxmlformats.org/officeDocument/2006/relationships/hyperlink" Target="http://www.imo.org/en/About/Conventions/StatusOfConventions/Pages/Default.aspx" TargetMode="External"/><Relationship Id="rId1" Type="http://schemas.openxmlformats.org/officeDocument/2006/relationships/hyperlink" Target="http://www.imo.org/en/OurWork/Environment/BallastWaterManagement/Pages/BWMTechnologies.aspx" TargetMode="External"/><Relationship Id="rId6" Type="http://schemas.openxmlformats.org/officeDocument/2006/relationships/hyperlink" Target="http://www.nonnativespecies.org/checkcleandry/" TargetMode="External"/><Relationship Id="rId5" Type="http://schemas.openxmlformats.org/officeDocument/2006/relationships/hyperlink" Target="https://rm.coe.int/1680746815" TargetMode="External"/><Relationship Id="rId4" Type="http://schemas.openxmlformats.org/officeDocument/2006/relationships/hyperlink" Target="http://www.imo.org/en/OurWork/Environment/Biofouling/Documents/RESOLUTION%20MEPC.207%5b6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8CD2-A90B-433C-8ABC-85579480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14715</Words>
  <Characters>83878</Characters>
  <Application>Microsoft Office Word</Application>
  <DocSecurity>0</DocSecurity>
  <Lines>698</Lines>
  <Paragraphs>196</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98397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Colette O'Flynn</cp:lastModifiedBy>
  <cp:revision>2</cp:revision>
  <dcterms:created xsi:type="dcterms:W3CDTF">2021-05-04T21:11:00Z</dcterms:created>
  <dcterms:modified xsi:type="dcterms:W3CDTF">2021-05-04T21:11:00Z</dcterms:modified>
</cp:coreProperties>
</file>